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072"/>
      </w:tblGrid>
      <w:tr w:rsidR="00C31077" w:rsidRPr="006047A5" w14:paraId="0C871BC2" w14:textId="77777777" w:rsidTr="00C31077">
        <w:tc>
          <w:tcPr>
            <w:tcW w:w="9212" w:type="dxa"/>
            <w:shd w:val="clear" w:color="auto" w:fill="auto"/>
          </w:tcPr>
          <w:p w14:paraId="2C81D9A3" w14:textId="7C74D53B" w:rsidR="00C31077" w:rsidRPr="00835938" w:rsidRDefault="00A1289D" w:rsidP="0009796D">
            <w:pPr>
              <w:pStyle w:val="Heading1"/>
              <w:outlineLvl w:val="0"/>
              <w:rPr>
                <w:rFonts w:asciiTheme="minorHAnsi" w:hAnsiTheme="minorHAnsi"/>
                <w:color w:val="C00000"/>
                <w:sz w:val="48"/>
                <w:lang w:val="en-US"/>
              </w:rPr>
            </w:pPr>
            <w:r>
              <w:rPr>
                <w:rFonts w:asciiTheme="minorHAnsi" w:hAnsiTheme="minorHAnsi"/>
                <w:color w:val="C00000"/>
                <w:sz w:val="48"/>
                <w:lang w:val="en-US"/>
              </w:rPr>
              <w:t xml:space="preserve">  </w:t>
            </w:r>
            <w:r w:rsidR="00132966" w:rsidRPr="00132966">
              <w:rPr>
                <w:rFonts w:asciiTheme="minorHAnsi" w:hAnsiTheme="minorHAnsi"/>
                <w:color w:val="C00000"/>
                <w:sz w:val="48"/>
                <w:lang w:val="en-US"/>
              </w:rPr>
              <w:t>AMC Aspermont Dividend Stock Basket</w:t>
            </w:r>
          </w:p>
        </w:tc>
      </w:tr>
    </w:tbl>
    <w:p w14:paraId="36409747" w14:textId="3F859E76" w:rsidR="00437B29" w:rsidRDefault="00437B29" w:rsidP="00613F03">
      <w:pPr>
        <w:spacing w:before="120" w:after="120"/>
        <w:jc w:val="center"/>
        <w:rPr>
          <w:b/>
          <w:sz w:val="24"/>
          <w:lang w:val="en-US"/>
        </w:rPr>
      </w:pPr>
      <w:r w:rsidRPr="00835938">
        <w:rPr>
          <w:b/>
          <w:sz w:val="24"/>
          <w:lang w:val="en-US"/>
        </w:rPr>
        <w:t xml:space="preserve">Product update as of </w:t>
      </w:r>
      <w:r w:rsidR="003C57EE">
        <w:rPr>
          <w:b/>
          <w:sz w:val="24"/>
          <w:lang w:val="en-US"/>
        </w:rPr>
        <w:t>April 30</w:t>
      </w:r>
      <w:r w:rsidR="00091112" w:rsidRPr="00835938">
        <w:rPr>
          <w:b/>
          <w:sz w:val="24"/>
          <w:lang w:val="en-US"/>
        </w:rPr>
        <w:t>, 20</w:t>
      </w:r>
      <w:r w:rsidR="002E621F">
        <w:rPr>
          <w:b/>
          <w:sz w:val="24"/>
          <w:lang w:val="en-US"/>
        </w:rPr>
        <w:t>20</w:t>
      </w:r>
      <w:r w:rsidR="0052763D">
        <w:rPr>
          <w:b/>
          <w:sz w:val="24"/>
          <w:lang w:val="en-US"/>
        </w:rPr>
        <w:tab/>
      </w:r>
    </w:p>
    <w:p w14:paraId="66F8424D" w14:textId="1B02214D" w:rsidR="003F7B25" w:rsidRPr="00503B1C" w:rsidRDefault="001F1E05" w:rsidP="003F7B25">
      <w:pPr>
        <w:spacing w:after="0"/>
        <w:rPr>
          <w:b/>
          <w:sz w:val="18"/>
          <w:lang w:val="en-US"/>
        </w:rPr>
      </w:pPr>
      <w:r w:rsidRPr="00503B1C">
        <w:rPr>
          <w:b/>
          <w:sz w:val="18"/>
          <w:lang w:val="en-US"/>
        </w:rPr>
        <w:t>NAV per share (</w:t>
      </w:r>
      <w:r w:rsidR="00920C49">
        <w:rPr>
          <w:b/>
          <w:sz w:val="18"/>
          <w:lang w:val="en-US"/>
        </w:rPr>
        <w:t>March 31</w:t>
      </w:r>
      <w:r w:rsidR="003F7B25" w:rsidRPr="00503B1C">
        <w:rPr>
          <w:b/>
          <w:sz w:val="18"/>
          <w:lang w:val="en-US"/>
        </w:rPr>
        <w:t>, 201</w:t>
      </w:r>
      <w:r w:rsidR="001259C7">
        <w:rPr>
          <w:b/>
          <w:sz w:val="18"/>
          <w:lang w:val="en-US"/>
        </w:rPr>
        <w:t>9</w:t>
      </w:r>
      <w:r w:rsidR="003F7B25" w:rsidRPr="00503B1C">
        <w:rPr>
          <w:b/>
          <w:sz w:val="18"/>
          <w:lang w:val="en-US"/>
        </w:rPr>
        <w:t xml:space="preserve">): EUR </w:t>
      </w:r>
      <w:r w:rsidR="00172F05">
        <w:rPr>
          <w:b/>
          <w:sz w:val="18"/>
          <w:lang w:val="en-US"/>
        </w:rPr>
        <w:t>1</w:t>
      </w:r>
      <w:r w:rsidR="00601B14">
        <w:rPr>
          <w:b/>
          <w:sz w:val="18"/>
          <w:lang w:val="en-US"/>
        </w:rPr>
        <w:t>30</w:t>
      </w:r>
      <w:r w:rsidR="008A08EC">
        <w:rPr>
          <w:b/>
          <w:sz w:val="18"/>
          <w:lang w:val="en-US"/>
        </w:rPr>
        <w:t>.</w:t>
      </w:r>
      <w:r w:rsidR="00601B14">
        <w:rPr>
          <w:b/>
          <w:sz w:val="18"/>
          <w:lang w:val="en-US"/>
        </w:rPr>
        <w:t>10</w:t>
      </w:r>
      <w:r w:rsidR="003F7B25" w:rsidRPr="00503B1C">
        <w:rPr>
          <w:b/>
          <w:sz w:val="18"/>
          <w:lang w:val="en-US"/>
        </w:rPr>
        <w:t xml:space="preserve"> monthly performance:</w:t>
      </w:r>
      <w:r w:rsidR="0052763D" w:rsidRPr="00503B1C">
        <w:rPr>
          <w:b/>
          <w:sz w:val="18"/>
          <w:lang w:val="en-US"/>
        </w:rPr>
        <w:t xml:space="preserve"> </w:t>
      </w:r>
      <w:r w:rsidR="00601B14">
        <w:rPr>
          <w:b/>
          <w:sz w:val="18"/>
          <w:lang w:val="en-US"/>
        </w:rPr>
        <w:t>+4.75</w:t>
      </w:r>
      <w:r w:rsidR="003A65DB">
        <w:rPr>
          <w:b/>
          <w:sz w:val="18"/>
          <w:lang w:val="en-US"/>
        </w:rPr>
        <w:t>%</w:t>
      </w:r>
      <w:r w:rsidR="00503B1C" w:rsidRPr="00503B1C">
        <w:rPr>
          <w:b/>
          <w:sz w:val="18"/>
          <w:lang w:val="en-US"/>
        </w:rPr>
        <w:t>,</w:t>
      </w:r>
      <w:r w:rsidR="003F7B25" w:rsidRPr="00503B1C">
        <w:rPr>
          <w:b/>
          <w:sz w:val="18"/>
          <w:lang w:val="en-US"/>
        </w:rPr>
        <w:t xml:space="preserve"> YTD: </w:t>
      </w:r>
      <w:r w:rsidR="00F203C2">
        <w:rPr>
          <w:b/>
          <w:sz w:val="18"/>
          <w:lang w:val="en-US"/>
        </w:rPr>
        <w:t>-</w:t>
      </w:r>
      <w:r w:rsidR="008A43A4">
        <w:rPr>
          <w:b/>
          <w:sz w:val="18"/>
          <w:lang w:val="en-US"/>
        </w:rPr>
        <w:t>1</w:t>
      </w:r>
      <w:r w:rsidR="00601B14">
        <w:rPr>
          <w:b/>
          <w:sz w:val="18"/>
          <w:lang w:val="en-US"/>
        </w:rPr>
        <w:t>3.73</w:t>
      </w:r>
      <w:r w:rsidR="003F7B25" w:rsidRPr="00503B1C">
        <w:rPr>
          <w:b/>
          <w:sz w:val="18"/>
          <w:lang w:val="en-US"/>
        </w:rPr>
        <w:t>%</w:t>
      </w:r>
      <w:r w:rsidR="00503B1C" w:rsidRPr="00503B1C">
        <w:rPr>
          <w:b/>
          <w:sz w:val="18"/>
          <w:lang w:val="en-US"/>
        </w:rPr>
        <w:t xml:space="preserve">, since inception: </w:t>
      </w:r>
      <w:r w:rsidR="003B6D95">
        <w:rPr>
          <w:b/>
          <w:sz w:val="18"/>
          <w:lang w:val="en-US"/>
        </w:rPr>
        <w:t>+</w:t>
      </w:r>
      <w:r w:rsidR="00BC0613">
        <w:rPr>
          <w:b/>
          <w:sz w:val="18"/>
          <w:lang w:val="en-US"/>
        </w:rPr>
        <w:t>29.84</w:t>
      </w:r>
      <w:r w:rsidR="00503B1C" w:rsidRPr="00503B1C">
        <w:rPr>
          <w:b/>
          <w:sz w:val="18"/>
          <w:lang w:val="en-US"/>
        </w:rPr>
        <w:t>%</w:t>
      </w:r>
    </w:p>
    <w:p w14:paraId="2CF62A57" w14:textId="77777777" w:rsidR="00307EFF" w:rsidRDefault="0085455F"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The Aspermont </w:t>
      </w:r>
      <w:r w:rsidR="00132966" w:rsidRPr="00132966">
        <w:rPr>
          <w:rFonts w:asciiTheme="minorHAnsi" w:hAnsiTheme="minorHAnsi"/>
          <w:color w:val="C00000"/>
          <w:sz w:val="24"/>
          <w:lang w:val="en-US"/>
        </w:rPr>
        <w:t>Dividend Stock Basket</w:t>
      </w:r>
    </w:p>
    <w:p w14:paraId="7AC32524" w14:textId="77777777" w:rsidR="008B6314" w:rsidRPr="00C35543" w:rsidRDefault="008B6314" w:rsidP="008B6314">
      <w:pPr>
        <w:spacing w:after="0" w:line="240" w:lineRule="auto"/>
        <w:jc w:val="both"/>
        <w:rPr>
          <w:b/>
          <w:color w:val="FF0000"/>
          <w:sz w:val="18"/>
          <w:szCs w:val="18"/>
          <w:lang w:val="en-US"/>
        </w:rPr>
      </w:pPr>
      <w:r w:rsidRPr="00C35543">
        <w:rPr>
          <w:sz w:val="18"/>
          <w:szCs w:val="18"/>
          <w:lang w:val="en-US"/>
        </w:rPr>
        <w:t>The Actively Managed (Strategy) Certificate (AMC)</w:t>
      </w:r>
      <w:r>
        <w:rPr>
          <w:sz w:val="18"/>
          <w:szCs w:val="18"/>
          <w:lang w:val="en-US"/>
        </w:rPr>
        <w:t xml:space="preserve"> l</w:t>
      </w:r>
      <w:r w:rsidRPr="00C35543">
        <w:rPr>
          <w:sz w:val="18"/>
          <w:szCs w:val="18"/>
          <w:lang w:val="en-US"/>
        </w:rPr>
        <w:t xml:space="preserve">inked to the Aspermont Capital Dividend Stock Basket provides investors access to a broadly diversified portfolio of around 30 attractive value stocks. We particularly </w:t>
      </w:r>
      <w:r>
        <w:rPr>
          <w:sz w:val="18"/>
          <w:szCs w:val="18"/>
          <w:lang w:val="en-US"/>
        </w:rPr>
        <w:t>seek out</w:t>
      </w:r>
      <w:r w:rsidRPr="00C35543">
        <w:rPr>
          <w:sz w:val="18"/>
          <w:szCs w:val="18"/>
          <w:lang w:val="en-US"/>
        </w:rPr>
        <w:t xml:space="preserve"> companies with stable or growing dividends and payout ratios, </w:t>
      </w:r>
      <w:r>
        <w:rPr>
          <w:sz w:val="18"/>
          <w:szCs w:val="18"/>
          <w:lang w:val="en-US"/>
        </w:rPr>
        <w:t>driven by</w:t>
      </w:r>
      <w:r w:rsidRPr="008B6314">
        <w:rPr>
          <w:sz w:val="18"/>
          <w:szCs w:val="18"/>
          <w:lang w:val="en-US"/>
        </w:rPr>
        <w:t xml:space="preserve"> </w:t>
      </w:r>
      <w:r w:rsidRPr="00C35543">
        <w:rPr>
          <w:sz w:val="18"/>
          <w:szCs w:val="18"/>
          <w:lang w:val="en-US"/>
        </w:rPr>
        <w:t>healthy balance sheet structures and sustainable revenue and earnings growth</w:t>
      </w:r>
      <w:r>
        <w:rPr>
          <w:sz w:val="18"/>
          <w:szCs w:val="18"/>
          <w:lang w:val="en-US"/>
        </w:rPr>
        <w:t>. While</w:t>
      </w:r>
      <w:r w:rsidRPr="00C35543">
        <w:rPr>
          <w:sz w:val="18"/>
          <w:szCs w:val="18"/>
          <w:lang w:val="en-US"/>
        </w:rPr>
        <w:t xml:space="preserve"> </w:t>
      </w:r>
      <w:r>
        <w:rPr>
          <w:sz w:val="18"/>
          <w:szCs w:val="18"/>
          <w:lang w:val="en-US"/>
        </w:rPr>
        <w:t xml:space="preserve">screening for </w:t>
      </w:r>
      <w:r w:rsidRPr="00C35543">
        <w:rPr>
          <w:sz w:val="18"/>
          <w:szCs w:val="18"/>
          <w:lang w:val="en-US"/>
        </w:rPr>
        <w:t>such quantitative elements as margin growth, free cash flow and debt-to-equity ratio</w:t>
      </w:r>
      <w:r>
        <w:rPr>
          <w:sz w:val="18"/>
          <w:szCs w:val="18"/>
          <w:lang w:val="en-US"/>
        </w:rPr>
        <w:t>s, q</w:t>
      </w:r>
      <w:r w:rsidRPr="00C35543">
        <w:rPr>
          <w:sz w:val="18"/>
          <w:szCs w:val="18"/>
          <w:lang w:val="en-US"/>
        </w:rPr>
        <w:t>ualitative aspects like management performance and corporate strategy</w:t>
      </w:r>
      <w:r>
        <w:rPr>
          <w:sz w:val="18"/>
          <w:szCs w:val="18"/>
          <w:lang w:val="en-US"/>
        </w:rPr>
        <w:t xml:space="preserve"> are also included in our selection process</w:t>
      </w:r>
      <w:r w:rsidRPr="00C35543">
        <w:rPr>
          <w:sz w:val="18"/>
          <w:szCs w:val="18"/>
          <w:lang w:val="en-US"/>
        </w:rPr>
        <w:t>. A minimum of 80% of the portfolio will be invested in large cap</w:t>
      </w:r>
      <w:r>
        <w:rPr>
          <w:sz w:val="18"/>
          <w:szCs w:val="18"/>
          <w:lang w:val="en-US"/>
        </w:rPr>
        <w:t xml:space="preserve"> name</w:t>
      </w:r>
      <w:r w:rsidRPr="00C35543">
        <w:rPr>
          <w:sz w:val="18"/>
          <w:szCs w:val="18"/>
          <w:lang w:val="en-US"/>
        </w:rPr>
        <w:t xml:space="preserve">s with market capitalizations of </w:t>
      </w:r>
      <w:r>
        <w:rPr>
          <w:sz w:val="18"/>
          <w:szCs w:val="18"/>
          <w:lang w:val="en-US"/>
        </w:rPr>
        <w:t>over</w:t>
      </w:r>
      <w:r w:rsidRPr="00C35543">
        <w:rPr>
          <w:sz w:val="18"/>
          <w:szCs w:val="18"/>
          <w:lang w:val="en-US"/>
        </w:rPr>
        <w:t xml:space="preserve"> EUR 10 billion.</w:t>
      </w:r>
    </w:p>
    <w:p w14:paraId="2B74D89B" w14:textId="77777777" w:rsidR="00437B29" w:rsidRPr="00835938" w:rsidRDefault="008B0C4D" w:rsidP="00331F6A">
      <w:pPr>
        <w:pStyle w:val="Heading1"/>
        <w:spacing w:before="240" w:after="120" w:line="240" w:lineRule="auto"/>
        <w:rPr>
          <w:rFonts w:asciiTheme="minorHAnsi" w:hAnsiTheme="minorHAnsi"/>
          <w:color w:val="C00000"/>
          <w:sz w:val="24"/>
          <w:lang w:val="en-US"/>
        </w:rPr>
      </w:pPr>
      <w:r w:rsidRPr="00835938">
        <w:rPr>
          <w:rFonts w:asciiTheme="minorHAnsi" w:hAnsiTheme="minorHAnsi"/>
          <w:color w:val="C00000"/>
          <w:sz w:val="24"/>
          <w:lang w:val="en-US"/>
        </w:rPr>
        <w:t xml:space="preserve">Manager’s </w:t>
      </w:r>
      <w:r w:rsidR="00845763" w:rsidRPr="00835938">
        <w:rPr>
          <w:rFonts w:asciiTheme="minorHAnsi" w:hAnsiTheme="minorHAnsi"/>
          <w:color w:val="C00000"/>
          <w:sz w:val="24"/>
          <w:lang w:val="en-US"/>
        </w:rPr>
        <w:t>Comment</w:t>
      </w:r>
    </w:p>
    <w:tbl>
      <w:tblPr>
        <w:tblStyle w:val="TableGrid"/>
        <w:tblW w:w="934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574"/>
        <w:gridCol w:w="160"/>
        <w:gridCol w:w="4606"/>
      </w:tblGrid>
      <w:tr w:rsidR="00855CC2" w:rsidRPr="00835938" w14:paraId="1CF81563" w14:textId="77777777" w:rsidTr="003B6D95">
        <w:trPr>
          <w:trHeight w:val="7222"/>
        </w:trPr>
        <w:tc>
          <w:tcPr>
            <w:tcW w:w="4574" w:type="dxa"/>
          </w:tcPr>
          <w:p w14:paraId="461DE751" w14:textId="1CEE7B1D" w:rsidR="004A4C6C" w:rsidRDefault="00601B14" w:rsidP="00502201">
            <w:pPr>
              <w:spacing w:after="120"/>
              <w:jc w:val="both"/>
              <w:rPr>
                <w:sz w:val="16"/>
                <w:szCs w:val="15"/>
                <w:lang w:val="en-US"/>
              </w:rPr>
            </w:pPr>
            <w:r>
              <w:rPr>
                <w:sz w:val="16"/>
                <w:szCs w:val="15"/>
                <w:lang w:val="en-US"/>
              </w:rPr>
              <w:t>After two consecutive months of sharp decline on financial markets, indices recovered in April</w:t>
            </w:r>
            <w:r w:rsidR="00162964">
              <w:rPr>
                <w:sz w:val="16"/>
                <w:szCs w:val="15"/>
                <w:lang w:val="en-US"/>
              </w:rPr>
              <w:t>.</w:t>
            </w:r>
            <w:r w:rsidR="00BC0613">
              <w:rPr>
                <w:sz w:val="16"/>
                <w:szCs w:val="15"/>
                <w:lang w:val="en-US"/>
              </w:rPr>
              <w:t xml:space="preserve"> </w:t>
            </w:r>
            <w:r w:rsidR="00BC0613">
              <w:rPr>
                <w:sz w:val="16"/>
                <w:szCs w:val="15"/>
                <w:lang w:val="en-US"/>
              </w:rPr>
              <w:t xml:space="preserve">Effects of massive fiscal/monetary stimulus in </w:t>
            </w:r>
            <w:r w:rsidR="00BC0613">
              <w:rPr>
                <w:sz w:val="16"/>
                <w:szCs w:val="15"/>
                <w:lang w:val="en-US"/>
              </w:rPr>
              <w:t>this month</w:t>
            </w:r>
            <w:r w:rsidR="00BC0613">
              <w:rPr>
                <w:sz w:val="16"/>
                <w:szCs w:val="15"/>
                <w:lang w:val="en-US"/>
              </w:rPr>
              <w:t xml:space="preserve"> exceeds concerns regarding corona on stock prices</w:t>
            </w:r>
            <w:r w:rsidR="00BC0613">
              <w:rPr>
                <w:sz w:val="16"/>
                <w:szCs w:val="15"/>
                <w:lang w:val="en-US"/>
              </w:rPr>
              <w:t>. From the starting level of 15%, t</w:t>
            </w:r>
            <w:r>
              <w:rPr>
                <w:sz w:val="16"/>
                <w:szCs w:val="15"/>
                <w:lang w:val="en-US"/>
              </w:rPr>
              <w:t xml:space="preserve">o get exposure in </w:t>
            </w:r>
            <w:r w:rsidR="00AB1AB2">
              <w:rPr>
                <w:sz w:val="16"/>
                <w:szCs w:val="15"/>
                <w:lang w:val="en-US"/>
              </w:rPr>
              <w:t>upside market, we reduced cash position to 3%</w:t>
            </w:r>
            <w:r w:rsidR="00920C49">
              <w:rPr>
                <w:sz w:val="16"/>
                <w:szCs w:val="15"/>
                <w:lang w:val="en-US"/>
              </w:rPr>
              <w:t>.</w:t>
            </w:r>
            <w:r w:rsidR="00BC0613">
              <w:rPr>
                <w:sz w:val="16"/>
                <w:szCs w:val="15"/>
                <w:lang w:val="en-US"/>
              </w:rPr>
              <w:t xml:space="preserve"> Performance of Dividend basket was +4.75%</w:t>
            </w:r>
            <w:r w:rsidR="00920C49">
              <w:rPr>
                <w:sz w:val="16"/>
                <w:szCs w:val="15"/>
                <w:lang w:val="en-US"/>
              </w:rPr>
              <w:t>.</w:t>
            </w:r>
            <w:r w:rsidR="008D7E11">
              <w:rPr>
                <w:sz w:val="16"/>
                <w:szCs w:val="15"/>
                <w:lang w:val="en-US"/>
              </w:rPr>
              <w:t xml:space="preserve"> </w:t>
            </w:r>
            <w:r w:rsidR="002B4917">
              <w:rPr>
                <w:sz w:val="16"/>
                <w:szCs w:val="15"/>
                <w:lang w:val="en-US"/>
              </w:rPr>
              <w:t xml:space="preserve">Values of indices in </w:t>
            </w:r>
            <w:r w:rsidR="00AB1AB2">
              <w:rPr>
                <w:sz w:val="16"/>
                <w:szCs w:val="15"/>
                <w:lang w:val="en-US"/>
              </w:rPr>
              <w:t>April</w:t>
            </w:r>
            <w:r w:rsidR="002B4917">
              <w:rPr>
                <w:sz w:val="16"/>
                <w:szCs w:val="15"/>
                <w:lang w:val="en-US"/>
              </w:rPr>
              <w:t xml:space="preserve"> </w:t>
            </w:r>
            <w:r w:rsidR="00291810">
              <w:rPr>
                <w:sz w:val="16"/>
                <w:szCs w:val="15"/>
                <w:lang w:val="en-US"/>
              </w:rPr>
              <w:t xml:space="preserve">were: </w:t>
            </w:r>
            <w:r w:rsidR="00005A89">
              <w:rPr>
                <w:sz w:val="16"/>
                <w:szCs w:val="15"/>
                <w:lang w:val="en-US"/>
              </w:rPr>
              <w:t>SMI +3.40</w:t>
            </w:r>
            <w:r w:rsidR="002B4917">
              <w:rPr>
                <w:sz w:val="16"/>
                <w:szCs w:val="15"/>
                <w:lang w:val="en-US"/>
              </w:rPr>
              <w:t xml:space="preserve">%, </w:t>
            </w:r>
            <w:r w:rsidR="00005A89">
              <w:rPr>
                <w:sz w:val="16"/>
                <w:szCs w:val="15"/>
                <w:lang w:val="en-US"/>
              </w:rPr>
              <w:t>S&amp;P500 +12.68</w:t>
            </w:r>
            <w:r w:rsidR="008D7E11">
              <w:rPr>
                <w:sz w:val="16"/>
                <w:szCs w:val="15"/>
                <w:lang w:val="en-US"/>
              </w:rPr>
              <w:t xml:space="preserve">%, </w:t>
            </w:r>
            <w:r w:rsidR="00085FC8" w:rsidRPr="00072A85">
              <w:rPr>
                <w:sz w:val="16"/>
                <w:szCs w:val="15"/>
                <w:lang w:val="en-US"/>
              </w:rPr>
              <w:t>Eurostoxx</w:t>
            </w:r>
            <w:r w:rsidR="007D3D8F">
              <w:rPr>
                <w:sz w:val="16"/>
                <w:szCs w:val="15"/>
                <w:lang w:val="en-US"/>
              </w:rPr>
              <w:t>600</w:t>
            </w:r>
            <w:r w:rsidR="00085FC8" w:rsidRPr="00072A85">
              <w:rPr>
                <w:sz w:val="16"/>
                <w:szCs w:val="15"/>
                <w:lang w:val="en-US"/>
              </w:rPr>
              <w:t xml:space="preserve"> </w:t>
            </w:r>
            <w:r w:rsidR="00BC0613">
              <w:rPr>
                <w:sz w:val="16"/>
                <w:szCs w:val="15"/>
                <w:lang w:val="en-US"/>
              </w:rPr>
              <w:t>+</w:t>
            </w:r>
            <w:r w:rsidR="00005A89">
              <w:rPr>
                <w:sz w:val="16"/>
                <w:szCs w:val="15"/>
                <w:lang w:val="en-US"/>
              </w:rPr>
              <w:t>6.24</w:t>
            </w:r>
            <w:r w:rsidR="00085FC8">
              <w:rPr>
                <w:sz w:val="16"/>
                <w:szCs w:val="15"/>
                <w:lang w:val="en-US"/>
              </w:rPr>
              <w:t>%</w:t>
            </w:r>
            <w:r w:rsidR="00085FC8" w:rsidRPr="00072A85">
              <w:rPr>
                <w:sz w:val="16"/>
                <w:szCs w:val="15"/>
                <w:lang w:val="en-US"/>
              </w:rPr>
              <w:t xml:space="preserve">; </w:t>
            </w:r>
            <w:r w:rsidR="00ED313C" w:rsidRPr="00072A85">
              <w:rPr>
                <w:sz w:val="16"/>
                <w:szCs w:val="15"/>
                <w:lang w:val="en-US"/>
              </w:rPr>
              <w:t>D</w:t>
            </w:r>
            <w:r w:rsidR="001259C7">
              <w:rPr>
                <w:sz w:val="16"/>
                <w:szCs w:val="15"/>
                <w:lang w:val="en-US"/>
              </w:rPr>
              <w:t>AX</w:t>
            </w:r>
            <w:r w:rsidR="00ED313C" w:rsidRPr="00072A85">
              <w:rPr>
                <w:sz w:val="16"/>
                <w:szCs w:val="15"/>
                <w:lang w:val="en-US"/>
              </w:rPr>
              <w:t xml:space="preserve"> </w:t>
            </w:r>
            <w:r w:rsidR="00005A89">
              <w:rPr>
                <w:sz w:val="16"/>
                <w:szCs w:val="15"/>
                <w:lang w:val="en-US"/>
              </w:rPr>
              <w:t>+9.32</w:t>
            </w:r>
            <w:r w:rsidR="00104767">
              <w:rPr>
                <w:sz w:val="16"/>
                <w:szCs w:val="15"/>
                <w:lang w:val="en-US"/>
              </w:rPr>
              <w:t>%</w:t>
            </w:r>
            <w:r w:rsidR="001A5CEC">
              <w:rPr>
                <w:sz w:val="16"/>
                <w:szCs w:val="15"/>
                <w:lang w:val="en-US"/>
              </w:rPr>
              <w:t xml:space="preserve"> and</w:t>
            </w:r>
            <w:r w:rsidR="00631755" w:rsidRPr="00072A85">
              <w:rPr>
                <w:sz w:val="16"/>
                <w:szCs w:val="15"/>
                <w:lang w:val="en-US"/>
              </w:rPr>
              <w:t xml:space="preserve"> UK </w:t>
            </w:r>
            <w:r w:rsidR="00005A89">
              <w:rPr>
                <w:sz w:val="16"/>
                <w:szCs w:val="15"/>
                <w:lang w:val="en-US"/>
              </w:rPr>
              <w:t>+4.04</w:t>
            </w:r>
            <w:r w:rsidR="0003177F">
              <w:rPr>
                <w:sz w:val="16"/>
                <w:szCs w:val="15"/>
                <w:lang w:val="en-US"/>
              </w:rPr>
              <w:t>%</w:t>
            </w:r>
            <w:r w:rsidR="00631755" w:rsidRPr="00072A85">
              <w:rPr>
                <w:sz w:val="16"/>
                <w:szCs w:val="15"/>
                <w:lang w:val="en-US"/>
              </w:rPr>
              <w:t>.</w:t>
            </w:r>
            <w:r w:rsidR="0014106D">
              <w:rPr>
                <w:sz w:val="16"/>
                <w:szCs w:val="15"/>
                <w:lang w:val="en-US"/>
              </w:rPr>
              <w:t xml:space="preserve"> </w:t>
            </w:r>
            <w:r w:rsidR="00904349" w:rsidRPr="00072A85">
              <w:rPr>
                <w:sz w:val="16"/>
                <w:szCs w:val="15"/>
                <w:lang w:val="en-US"/>
              </w:rPr>
              <w:t xml:space="preserve">Our portfolio is currently composed of </w:t>
            </w:r>
            <w:r w:rsidR="00005A89">
              <w:rPr>
                <w:sz w:val="16"/>
                <w:szCs w:val="15"/>
                <w:lang w:val="en-US"/>
              </w:rPr>
              <w:t>26</w:t>
            </w:r>
            <w:r w:rsidR="007F35F0" w:rsidRPr="00072A85">
              <w:rPr>
                <w:sz w:val="16"/>
                <w:szCs w:val="15"/>
                <w:lang w:val="en-US"/>
              </w:rPr>
              <w:t xml:space="preserve"> positions</w:t>
            </w:r>
            <w:r w:rsidR="004D26F5">
              <w:rPr>
                <w:sz w:val="16"/>
                <w:szCs w:val="15"/>
                <w:lang w:val="en-US"/>
              </w:rPr>
              <w:t>.</w:t>
            </w:r>
            <w:r w:rsidR="00E76084">
              <w:rPr>
                <w:sz w:val="16"/>
                <w:szCs w:val="15"/>
                <w:lang w:val="en-US"/>
              </w:rPr>
              <w:t xml:space="preserve"> </w:t>
            </w:r>
            <w:r w:rsidR="00B97D9A">
              <w:rPr>
                <w:sz w:val="16"/>
                <w:szCs w:val="15"/>
                <w:lang w:val="en-US"/>
              </w:rPr>
              <w:t xml:space="preserve">Observing </w:t>
            </w:r>
            <w:r w:rsidR="001A5CEC">
              <w:rPr>
                <w:sz w:val="16"/>
                <w:szCs w:val="15"/>
                <w:lang w:val="en-US"/>
              </w:rPr>
              <w:t>currency</w:t>
            </w:r>
            <w:r w:rsidR="00B97D9A">
              <w:rPr>
                <w:sz w:val="16"/>
                <w:szCs w:val="15"/>
                <w:lang w:val="en-US"/>
              </w:rPr>
              <w:t xml:space="preserve"> perspective</w:t>
            </w:r>
            <w:r w:rsidR="001A5CEC">
              <w:rPr>
                <w:sz w:val="16"/>
                <w:szCs w:val="15"/>
                <w:lang w:val="en-US"/>
              </w:rPr>
              <w:t xml:space="preserve">, </w:t>
            </w:r>
            <w:r w:rsidR="00BC0613">
              <w:rPr>
                <w:sz w:val="16"/>
                <w:szCs w:val="15"/>
                <w:lang w:val="en-US"/>
              </w:rPr>
              <w:t>30</w:t>
            </w:r>
            <w:r w:rsidR="004A151D" w:rsidRPr="00072A85">
              <w:rPr>
                <w:sz w:val="16"/>
                <w:szCs w:val="15"/>
                <w:lang w:val="en-US"/>
              </w:rPr>
              <w:t xml:space="preserve">% of the assets </w:t>
            </w:r>
            <w:r w:rsidR="00ED313C" w:rsidRPr="00072A85">
              <w:rPr>
                <w:sz w:val="16"/>
                <w:szCs w:val="15"/>
                <w:lang w:val="en-US"/>
              </w:rPr>
              <w:t xml:space="preserve">are </w:t>
            </w:r>
            <w:r w:rsidR="00B97D9A">
              <w:rPr>
                <w:sz w:val="16"/>
                <w:szCs w:val="15"/>
                <w:lang w:val="en-US"/>
              </w:rPr>
              <w:t>in USD</w:t>
            </w:r>
            <w:r w:rsidR="004A151D" w:rsidRPr="00072A85">
              <w:rPr>
                <w:sz w:val="16"/>
                <w:szCs w:val="15"/>
                <w:lang w:val="en-US"/>
              </w:rPr>
              <w:t xml:space="preserve">; </w:t>
            </w:r>
            <w:r w:rsidR="00B97D9A">
              <w:rPr>
                <w:sz w:val="16"/>
                <w:szCs w:val="15"/>
                <w:lang w:val="en-US"/>
              </w:rPr>
              <w:t>1</w:t>
            </w:r>
            <w:r w:rsidR="00005A89">
              <w:rPr>
                <w:sz w:val="16"/>
                <w:szCs w:val="15"/>
                <w:lang w:val="en-US"/>
              </w:rPr>
              <w:t>2</w:t>
            </w:r>
            <w:r w:rsidR="004A151D" w:rsidRPr="00072A85">
              <w:rPr>
                <w:sz w:val="16"/>
                <w:szCs w:val="15"/>
                <w:lang w:val="en-US"/>
              </w:rPr>
              <w:t>% in CHF;</w:t>
            </w:r>
            <w:r w:rsidR="00BC0613">
              <w:rPr>
                <w:sz w:val="16"/>
                <w:szCs w:val="15"/>
                <w:lang w:val="en-US"/>
              </w:rPr>
              <w:t xml:space="preserve"> 4% in DKK</w:t>
            </w:r>
            <w:r w:rsidR="004A151D" w:rsidRPr="00072A85">
              <w:rPr>
                <w:sz w:val="16"/>
                <w:szCs w:val="15"/>
                <w:lang w:val="en-US"/>
              </w:rPr>
              <w:t xml:space="preserve"> and </w:t>
            </w:r>
            <w:r w:rsidR="00B97D9A">
              <w:rPr>
                <w:sz w:val="16"/>
                <w:szCs w:val="15"/>
                <w:lang w:val="en-US"/>
              </w:rPr>
              <w:t>remaining 6</w:t>
            </w:r>
            <w:r w:rsidR="00005A89">
              <w:rPr>
                <w:sz w:val="16"/>
                <w:szCs w:val="15"/>
                <w:lang w:val="en-US"/>
              </w:rPr>
              <w:t>5</w:t>
            </w:r>
            <w:r w:rsidR="00B97D9A">
              <w:rPr>
                <w:sz w:val="16"/>
                <w:szCs w:val="15"/>
                <w:lang w:val="en-US"/>
              </w:rPr>
              <w:t>% in EUR</w:t>
            </w:r>
            <w:r w:rsidR="004A151D" w:rsidRPr="00072A85">
              <w:rPr>
                <w:sz w:val="16"/>
                <w:szCs w:val="15"/>
                <w:lang w:val="en-US"/>
              </w:rPr>
              <w:t xml:space="preserve">. </w:t>
            </w:r>
            <w:r w:rsidR="00C524A1" w:rsidRPr="00072A85">
              <w:rPr>
                <w:sz w:val="16"/>
                <w:szCs w:val="15"/>
                <w:lang w:val="en-US"/>
              </w:rPr>
              <w:t xml:space="preserve">In terms of sector </w:t>
            </w:r>
            <w:r w:rsidR="00BA3C8A">
              <w:rPr>
                <w:sz w:val="16"/>
                <w:szCs w:val="15"/>
                <w:lang w:val="en-US"/>
              </w:rPr>
              <w:t>allocation</w:t>
            </w:r>
            <w:r w:rsidR="00C524A1" w:rsidRPr="00072A85">
              <w:rPr>
                <w:sz w:val="16"/>
                <w:szCs w:val="15"/>
                <w:lang w:val="en-US"/>
              </w:rPr>
              <w:t>,</w:t>
            </w:r>
            <w:r w:rsidR="008D603A" w:rsidRPr="00072A85">
              <w:rPr>
                <w:sz w:val="16"/>
                <w:szCs w:val="15"/>
                <w:lang w:val="en-US"/>
              </w:rPr>
              <w:t xml:space="preserve"> industrials </w:t>
            </w:r>
            <w:r w:rsidR="000C07BF" w:rsidRPr="00072A85">
              <w:rPr>
                <w:sz w:val="16"/>
                <w:szCs w:val="15"/>
                <w:lang w:val="en-US"/>
              </w:rPr>
              <w:t>remains</w:t>
            </w:r>
            <w:r w:rsidR="00C63C4C">
              <w:rPr>
                <w:sz w:val="16"/>
                <w:szCs w:val="15"/>
                <w:lang w:val="en-US"/>
              </w:rPr>
              <w:t xml:space="preserve"> </w:t>
            </w:r>
            <w:r w:rsidR="003E44BA">
              <w:rPr>
                <w:sz w:val="16"/>
                <w:szCs w:val="15"/>
                <w:lang w:val="en-US"/>
              </w:rPr>
              <w:t>has</w:t>
            </w:r>
            <w:r w:rsidR="00C63C4C">
              <w:rPr>
                <w:sz w:val="16"/>
                <w:szCs w:val="15"/>
                <w:lang w:val="en-US"/>
              </w:rPr>
              <w:t xml:space="preserve"> largest </w:t>
            </w:r>
            <w:r w:rsidR="00BA3C8A">
              <w:rPr>
                <w:sz w:val="16"/>
                <w:szCs w:val="15"/>
                <w:lang w:val="en-US"/>
              </w:rPr>
              <w:t>position</w:t>
            </w:r>
            <w:r w:rsidR="00C63C4C">
              <w:rPr>
                <w:sz w:val="16"/>
                <w:szCs w:val="15"/>
                <w:lang w:val="en-US"/>
              </w:rPr>
              <w:t xml:space="preserve"> </w:t>
            </w:r>
            <w:r w:rsidR="00C524A1" w:rsidRPr="00072A85">
              <w:rPr>
                <w:sz w:val="16"/>
                <w:szCs w:val="15"/>
                <w:lang w:val="en-US"/>
              </w:rPr>
              <w:t xml:space="preserve">with </w:t>
            </w:r>
            <w:r w:rsidR="00D65DA5">
              <w:rPr>
                <w:sz w:val="16"/>
                <w:szCs w:val="15"/>
                <w:lang w:val="en-US"/>
              </w:rPr>
              <w:t>2</w:t>
            </w:r>
            <w:r w:rsidR="00BC0613">
              <w:rPr>
                <w:sz w:val="16"/>
                <w:szCs w:val="15"/>
                <w:lang w:val="en-US"/>
              </w:rPr>
              <w:t>2</w:t>
            </w:r>
            <w:r w:rsidR="001D56C7" w:rsidRPr="00072A85">
              <w:rPr>
                <w:sz w:val="16"/>
                <w:szCs w:val="15"/>
                <w:lang w:val="en-US"/>
              </w:rPr>
              <w:t>%</w:t>
            </w:r>
            <w:r w:rsidR="00DE22ED" w:rsidRPr="00072A85">
              <w:rPr>
                <w:sz w:val="16"/>
                <w:szCs w:val="15"/>
                <w:lang w:val="en-US"/>
              </w:rPr>
              <w:t xml:space="preserve"> (transportation </w:t>
            </w:r>
            <w:r w:rsidR="00D65DA5">
              <w:rPr>
                <w:sz w:val="16"/>
                <w:szCs w:val="15"/>
                <w:lang w:val="en-US"/>
              </w:rPr>
              <w:t>1</w:t>
            </w:r>
            <w:r w:rsidR="00BC0613">
              <w:rPr>
                <w:sz w:val="16"/>
                <w:szCs w:val="15"/>
                <w:lang w:val="en-US"/>
              </w:rPr>
              <w:t>2</w:t>
            </w:r>
            <w:r w:rsidR="000C07BF" w:rsidRPr="00072A85">
              <w:rPr>
                <w:sz w:val="16"/>
                <w:szCs w:val="15"/>
                <w:lang w:val="en-US"/>
              </w:rPr>
              <w:t xml:space="preserve">%, aerospace </w:t>
            </w:r>
            <w:r w:rsidR="00474A6B">
              <w:rPr>
                <w:sz w:val="16"/>
                <w:szCs w:val="15"/>
                <w:lang w:val="en-US"/>
              </w:rPr>
              <w:t>4</w:t>
            </w:r>
            <w:r w:rsidR="00DE22ED" w:rsidRPr="00072A85">
              <w:rPr>
                <w:sz w:val="16"/>
                <w:szCs w:val="15"/>
                <w:lang w:val="en-US"/>
              </w:rPr>
              <w:t>%, engineering</w:t>
            </w:r>
            <w:r w:rsidR="004A151D" w:rsidRPr="00072A85">
              <w:rPr>
                <w:sz w:val="16"/>
                <w:szCs w:val="15"/>
                <w:lang w:val="en-US"/>
              </w:rPr>
              <w:t xml:space="preserve"> &amp; construction</w:t>
            </w:r>
            <w:r w:rsidR="00DE22ED" w:rsidRPr="00072A85">
              <w:rPr>
                <w:sz w:val="16"/>
                <w:szCs w:val="15"/>
                <w:lang w:val="en-US"/>
              </w:rPr>
              <w:t xml:space="preserve"> </w:t>
            </w:r>
            <w:r w:rsidR="00BC0613">
              <w:rPr>
                <w:sz w:val="16"/>
                <w:szCs w:val="15"/>
                <w:lang w:val="en-US"/>
              </w:rPr>
              <w:t>6</w:t>
            </w:r>
            <w:r w:rsidR="00DE22ED" w:rsidRPr="00072A85">
              <w:rPr>
                <w:sz w:val="16"/>
                <w:szCs w:val="15"/>
                <w:lang w:val="en-US"/>
              </w:rPr>
              <w:t>%)</w:t>
            </w:r>
            <w:r w:rsidR="001D56C7" w:rsidRPr="00072A85">
              <w:rPr>
                <w:sz w:val="16"/>
                <w:szCs w:val="15"/>
                <w:lang w:val="en-US"/>
              </w:rPr>
              <w:t xml:space="preserve">, </w:t>
            </w:r>
            <w:r w:rsidR="00C524A1" w:rsidRPr="00072A85">
              <w:rPr>
                <w:sz w:val="16"/>
                <w:szCs w:val="15"/>
                <w:lang w:val="en-US"/>
              </w:rPr>
              <w:t>followed by</w:t>
            </w:r>
            <w:r w:rsidR="004A151D" w:rsidRPr="00072A85">
              <w:rPr>
                <w:sz w:val="16"/>
                <w:szCs w:val="15"/>
                <w:lang w:val="en-US"/>
              </w:rPr>
              <w:t xml:space="preserve">, </w:t>
            </w:r>
            <w:r w:rsidR="00D65DA5" w:rsidRPr="00072A85">
              <w:rPr>
                <w:sz w:val="16"/>
                <w:szCs w:val="15"/>
                <w:lang w:val="en-US"/>
              </w:rPr>
              <w:t xml:space="preserve">IT </w:t>
            </w:r>
            <w:r w:rsidR="00BC0613">
              <w:rPr>
                <w:sz w:val="16"/>
                <w:szCs w:val="15"/>
                <w:lang w:val="en-US"/>
              </w:rPr>
              <w:t>13</w:t>
            </w:r>
            <w:r w:rsidR="00D65DA5" w:rsidRPr="00072A85">
              <w:rPr>
                <w:sz w:val="16"/>
                <w:szCs w:val="15"/>
                <w:lang w:val="en-US"/>
              </w:rPr>
              <w:t>%</w:t>
            </w:r>
            <w:r w:rsidR="00D65DA5">
              <w:rPr>
                <w:sz w:val="16"/>
                <w:szCs w:val="15"/>
                <w:lang w:val="en-US"/>
              </w:rPr>
              <w:t>;</w:t>
            </w:r>
            <w:r w:rsidR="00536461" w:rsidRPr="00072A85">
              <w:rPr>
                <w:sz w:val="16"/>
                <w:szCs w:val="15"/>
                <w:lang w:val="en-US"/>
              </w:rPr>
              <w:t xml:space="preserve"> </w:t>
            </w:r>
            <w:r w:rsidR="00536461" w:rsidRPr="00072A85">
              <w:rPr>
                <w:sz w:val="16"/>
                <w:szCs w:val="15"/>
                <w:lang w:val="en-US"/>
              </w:rPr>
              <w:t xml:space="preserve">financials </w:t>
            </w:r>
            <w:r w:rsidR="00536461">
              <w:rPr>
                <w:sz w:val="16"/>
                <w:szCs w:val="15"/>
                <w:lang w:val="en-US"/>
              </w:rPr>
              <w:t>12</w:t>
            </w:r>
            <w:r w:rsidR="00536461" w:rsidRPr="00072A85">
              <w:rPr>
                <w:sz w:val="16"/>
                <w:szCs w:val="15"/>
                <w:lang w:val="en-US"/>
              </w:rPr>
              <w:t xml:space="preserve">% (insurance </w:t>
            </w:r>
            <w:r w:rsidR="00536461">
              <w:rPr>
                <w:sz w:val="16"/>
                <w:szCs w:val="15"/>
                <w:lang w:val="en-US"/>
              </w:rPr>
              <w:t>5</w:t>
            </w:r>
            <w:r w:rsidR="00536461" w:rsidRPr="00072A85">
              <w:rPr>
                <w:sz w:val="16"/>
                <w:szCs w:val="15"/>
                <w:lang w:val="en-US"/>
              </w:rPr>
              <w:t xml:space="preserve">%, private equity </w:t>
            </w:r>
            <w:r w:rsidR="00536461">
              <w:rPr>
                <w:sz w:val="16"/>
                <w:szCs w:val="15"/>
                <w:lang w:val="en-US"/>
              </w:rPr>
              <w:t>5</w:t>
            </w:r>
            <w:r w:rsidR="00536461" w:rsidRPr="00072A85">
              <w:rPr>
                <w:sz w:val="16"/>
                <w:szCs w:val="15"/>
                <w:lang w:val="en-US"/>
              </w:rPr>
              <w:t>%</w:t>
            </w:r>
            <w:r w:rsidR="00536461">
              <w:rPr>
                <w:sz w:val="16"/>
                <w:szCs w:val="15"/>
                <w:lang w:val="en-US"/>
              </w:rPr>
              <w:t>, banks 3%</w:t>
            </w:r>
            <w:r w:rsidR="00536461" w:rsidRPr="00072A85">
              <w:rPr>
                <w:sz w:val="16"/>
                <w:szCs w:val="15"/>
                <w:lang w:val="en-US"/>
              </w:rPr>
              <w:t>)</w:t>
            </w:r>
            <w:r w:rsidR="00536461">
              <w:rPr>
                <w:sz w:val="16"/>
                <w:szCs w:val="15"/>
                <w:lang w:val="en-US"/>
              </w:rPr>
              <w:t>,</w:t>
            </w:r>
            <w:bookmarkStart w:id="0" w:name="_GoBack"/>
            <w:bookmarkEnd w:id="0"/>
            <w:r w:rsidR="00D65DA5">
              <w:rPr>
                <w:sz w:val="16"/>
                <w:szCs w:val="15"/>
                <w:lang w:val="en-US"/>
              </w:rPr>
              <w:t xml:space="preserve"> utilities </w:t>
            </w:r>
            <w:r w:rsidR="007D3D8F">
              <w:rPr>
                <w:sz w:val="16"/>
                <w:szCs w:val="15"/>
                <w:lang w:val="en-US"/>
              </w:rPr>
              <w:t>11</w:t>
            </w:r>
            <w:r w:rsidR="00D65DA5">
              <w:rPr>
                <w:sz w:val="16"/>
                <w:szCs w:val="15"/>
                <w:lang w:val="en-US"/>
              </w:rPr>
              <w:t>%</w:t>
            </w:r>
            <w:r w:rsidR="007D3D8F">
              <w:rPr>
                <w:sz w:val="16"/>
                <w:szCs w:val="15"/>
                <w:lang w:val="en-US"/>
              </w:rPr>
              <w:t>; energy 7</w:t>
            </w:r>
            <w:r w:rsidR="007D3D8F" w:rsidRPr="00072A85">
              <w:rPr>
                <w:sz w:val="16"/>
                <w:szCs w:val="15"/>
                <w:lang w:val="en-US"/>
              </w:rPr>
              <w:t>%;</w:t>
            </w:r>
            <w:r w:rsidR="00D65DA5">
              <w:rPr>
                <w:sz w:val="16"/>
                <w:szCs w:val="15"/>
                <w:lang w:val="en-US"/>
              </w:rPr>
              <w:t xml:space="preserve"> and participation of other sectors below</w:t>
            </w:r>
            <w:r w:rsidR="00BA3C8A">
              <w:rPr>
                <w:sz w:val="16"/>
                <w:szCs w:val="15"/>
                <w:lang w:val="en-US"/>
              </w:rPr>
              <w:t xml:space="preserve"> </w:t>
            </w:r>
            <w:r w:rsidR="00D65DA5">
              <w:rPr>
                <w:sz w:val="16"/>
                <w:szCs w:val="15"/>
                <w:lang w:val="en-US"/>
              </w:rPr>
              <w:t>5</w:t>
            </w:r>
            <w:r w:rsidR="009D52EC" w:rsidRPr="00072A85">
              <w:rPr>
                <w:sz w:val="16"/>
                <w:szCs w:val="15"/>
                <w:lang w:val="en-US"/>
              </w:rPr>
              <w:t>%</w:t>
            </w:r>
            <w:r w:rsidR="00C448F2">
              <w:rPr>
                <w:sz w:val="16"/>
                <w:szCs w:val="15"/>
                <w:lang w:val="en-US"/>
              </w:rPr>
              <w:t>.</w:t>
            </w:r>
          </w:p>
          <w:p w14:paraId="1CE08085" w14:textId="77777777" w:rsidR="00474A6B" w:rsidRDefault="00474A6B" w:rsidP="00502201">
            <w:pPr>
              <w:spacing w:after="120"/>
              <w:jc w:val="both"/>
              <w:rPr>
                <w:sz w:val="16"/>
                <w:szCs w:val="15"/>
                <w:lang w:val="en-US"/>
              </w:rPr>
            </w:pPr>
          </w:p>
          <w:p w14:paraId="11C5AB96" w14:textId="4D7769C3" w:rsidR="00CF57AC" w:rsidRDefault="00474A6B" w:rsidP="00023CC6">
            <w:pPr>
              <w:spacing w:after="120"/>
              <w:jc w:val="both"/>
              <w:rPr>
                <w:sz w:val="16"/>
                <w:szCs w:val="15"/>
                <w:lang w:val="en-US"/>
              </w:rPr>
            </w:pPr>
            <w:r>
              <w:rPr>
                <w:sz w:val="16"/>
                <w:szCs w:val="15"/>
                <w:lang w:val="en-US"/>
              </w:rPr>
              <w:t>Observing across regions, US again beats Eurozone, so most of our positive performance coming from holdings in Microsoft (1.15%) and Digital Realty (0</w:t>
            </w:r>
            <w:r w:rsidR="004F345A">
              <w:rPr>
                <w:sz w:val="16"/>
                <w:szCs w:val="15"/>
                <w:lang w:val="en-US"/>
              </w:rPr>
              <w:t>.48%). Both companies are related to IT sector</w:t>
            </w:r>
            <w:r>
              <w:rPr>
                <w:sz w:val="16"/>
                <w:szCs w:val="15"/>
                <w:lang w:val="en-US"/>
              </w:rPr>
              <w:t xml:space="preserve"> which is not affected by halt in production and social distancing</w:t>
            </w:r>
            <w:r w:rsidR="004F345A">
              <w:rPr>
                <w:sz w:val="16"/>
                <w:szCs w:val="15"/>
                <w:lang w:val="en-US"/>
              </w:rPr>
              <w:t xml:space="preserve"> measures</w:t>
            </w:r>
            <w:r>
              <w:rPr>
                <w:sz w:val="16"/>
                <w:szCs w:val="15"/>
                <w:lang w:val="en-US"/>
              </w:rPr>
              <w:t xml:space="preserve">. Cloud solutions are now more essential so the software supplier (Microsoft) and storage provider (Digital Realty) profit </w:t>
            </w:r>
            <w:r w:rsidR="00023CC6">
              <w:rPr>
                <w:sz w:val="16"/>
                <w:szCs w:val="15"/>
                <w:lang w:val="en-US"/>
              </w:rPr>
              <w:t>from this needs</w:t>
            </w:r>
            <w:r w:rsidR="00BC0613">
              <w:rPr>
                <w:sz w:val="16"/>
                <w:szCs w:val="15"/>
                <w:lang w:val="en-US"/>
              </w:rPr>
              <w:t>.</w:t>
            </w:r>
            <w:r w:rsidR="00502201">
              <w:rPr>
                <w:sz w:val="16"/>
                <w:szCs w:val="15"/>
                <w:lang w:val="en-US"/>
              </w:rPr>
              <w:t xml:space="preserve"> </w:t>
            </w:r>
            <w:r w:rsidR="00023CC6">
              <w:rPr>
                <w:sz w:val="16"/>
                <w:szCs w:val="15"/>
                <w:lang w:val="en-US"/>
              </w:rPr>
              <w:t>Picking up in demand due to restarting of economy resulted in stock appreciation of Deutsche Post, which contributed 0.59% in total month performance, while Partners Group after rough March recovered more than 17% and accounted 0.78% of month growth.</w:t>
            </w:r>
            <w:r w:rsidR="00502201">
              <w:rPr>
                <w:sz w:val="16"/>
                <w:szCs w:val="15"/>
                <w:lang w:val="en-US"/>
              </w:rPr>
              <w:t xml:space="preserve"> </w:t>
            </w:r>
            <w:r w:rsidR="00023CC6">
              <w:rPr>
                <w:sz w:val="16"/>
                <w:szCs w:val="15"/>
                <w:lang w:val="en-US"/>
              </w:rPr>
              <w:t>We open</w:t>
            </w:r>
            <w:r w:rsidR="00BC0613">
              <w:rPr>
                <w:sz w:val="16"/>
                <w:szCs w:val="15"/>
                <w:lang w:val="en-US"/>
              </w:rPr>
              <w:t>ed</w:t>
            </w:r>
            <w:r w:rsidR="00023CC6">
              <w:rPr>
                <w:sz w:val="16"/>
                <w:szCs w:val="15"/>
                <w:lang w:val="en-US"/>
              </w:rPr>
              <w:t xml:space="preserve"> positions in JD.com, Chinese</w:t>
            </w:r>
            <w:r w:rsidR="00BC0613">
              <w:rPr>
                <w:sz w:val="16"/>
                <w:szCs w:val="15"/>
                <w:lang w:val="en-US"/>
              </w:rPr>
              <w:t xml:space="preserve"> leading</w:t>
            </w:r>
            <w:r w:rsidR="00023CC6">
              <w:rPr>
                <w:sz w:val="16"/>
                <w:szCs w:val="15"/>
                <w:lang w:val="en-US"/>
              </w:rPr>
              <w:t xml:space="preserve"> e-</w:t>
            </w:r>
            <w:r w:rsidR="00BC0613">
              <w:rPr>
                <w:sz w:val="16"/>
                <w:szCs w:val="15"/>
                <w:lang w:val="en-US"/>
              </w:rPr>
              <w:t xml:space="preserve">commerce company with more than promising business model and world superb model of delivery products within 1 day, </w:t>
            </w:r>
            <w:r w:rsidR="00023CC6">
              <w:rPr>
                <w:sz w:val="16"/>
                <w:szCs w:val="15"/>
                <w:lang w:val="en-US"/>
              </w:rPr>
              <w:t>Danish pharmaceutic giant Novo Nordisk</w:t>
            </w:r>
            <w:r w:rsidR="00830115">
              <w:rPr>
                <w:sz w:val="16"/>
                <w:szCs w:val="15"/>
                <w:lang w:val="en-US"/>
              </w:rPr>
              <w:t xml:space="preserve"> with proven medicaments treating diabetes and exceptionally low debt. Also we invest in</w:t>
            </w:r>
            <w:r w:rsidR="00023CC6">
              <w:rPr>
                <w:sz w:val="16"/>
                <w:szCs w:val="15"/>
                <w:lang w:val="en-US"/>
              </w:rPr>
              <w:t xml:space="preserve"> German residential unit owner </w:t>
            </w:r>
            <w:proofErr w:type="spellStart"/>
            <w:r w:rsidR="00023CC6">
              <w:rPr>
                <w:sz w:val="16"/>
                <w:szCs w:val="15"/>
                <w:lang w:val="en-US"/>
              </w:rPr>
              <w:t>Vonovia</w:t>
            </w:r>
            <w:proofErr w:type="spellEnd"/>
            <w:r w:rsidR="00830115">
              <w:rPr>
                <w:sz w:val="16"/>
                <w:szCs w:val="15"/>
                <w:lang w:val="en-US"/>
              </w:rPr>
              <w:t>, which despite slowing down of economy in recent month continues to deliver growing cash flow from operations</w:t>
            </w:r>
            <w:r w:rsidR="00023CC6">
              <w:rPr>
                <w:sz w:val="16"/>
                <w:szCs w:val="15"/>
                <w:lang w:val="en-US"/>
              </w:rPr>
              <w:t xml:space="preserve"> and French industrial company Schneider Electric.</w:t>
            </w:r>
            <w:r w:rsidR="00830115">
              <w:rPr>
                <w:sz w:val="16"/>
                <w:szCs w:val="15"/>
                <w:lang w:val="en-US"/>
              </w:rPr>
              <w:t xml:space="preserve"> Schneider Electric revenue is well diversified across the regions and company has dominant share on smart home solutions.</w:t>
            </w:r>
            <w:r w:rsidR="00502201">
              <w:rPr>
                <w:sz w:val="16"/>
                <w:szCs w:val="15"/>
                <w:lang w:val="en-US"/>
              </w:rPr>
              <w:t xml:space="preserve"> </w:t>
            </w:r>
            <w:r w:rsidR="00023CC6">
              <w:rPr>
                <w:sz w:val="16"/>
                <w:szCs w:val="15"/>
                <w:lang w:val="en-US"/>
              </w:rPr>
              <w:t>Negative performance in April coming from Swiss Re (-0.23%), which was adversely affect by cancelation of sports event due to corona,</w:t>
            </w:r>
            <w:r w:rsidR="00CF57AC">
              <w:rPr>
                <w:sz w:val="16"/>
                <w:szCs w:val="15"/>
                <w:lang w:val="en-US"/>
              </w:rPr>
              <w:t xml:space="preserve"> and Total (-0.16%), which suffered from price war on oil market </w:t>
            </w:r>
            <w:r w:rsidR="004F345A">
              <w:rPr>
                <w:sz w:val="16"/>
                <w:szCs w:val="15"/>
                <w:lang w:val="en-US"/>
              </w:rPr>
              <w:t>which resulted with</w:t>
            </w:r>
            <w:r w:rsidR="00CF57AC">
              <w:rPr>
                <w:sz w:val="16"/>
                <w:szCs w:val="15"/>
                <w:lang w:val="en-US"/>
              </w:rPr>
              <w:t xml:space="preserve"> going even to negative territory </w:t>
            </w:r>
            <w:r w:rsidR="004F345A">
              <w:rPr>
                <w:sz w:val="16"/>
                <w:szCs w:val="15"/>
                <w:lang w:val="en-US"/>
              </w:rPr>
              <w:t xml:space="preserve">briefly </w:t>
            </w:r>
            <w:r w:rsidR="00CF57AC">
              <w:rPr>
                <w:sz w:val="16"/>
                <w:szCs w:val="15"/>
                <w:lang w:val="en-US"/>
              </w:rPr>
              <w:t xml:space="preserve">during the April. </w:t>
            </w:r>
            <w:r w:rsidR="00023CC6">
              <w:rPr>
                <w:sz w:val="16"/>
                <w:szCs w:val="15"/>
                <w:lang w:val="en-US"/>
              </w:rPr>
              <w:t xml:space="preserve"> </w:t>
            </w:r>
            <w:r w:rsidR="00CF57AC">
              <w:rPr>
                <w:sz w:val="16"/>
                <w:szCs w:val="15"/>
                <w:lang w:val="en-US"/>
              </w:rPr>
              <w:t xml:space="preserve"> </w:t>
            </w:r>
          </w:p>
          <w:p w14:paraId="590885C1" w14:textId="032B0BA5" w:rsidR="00CF57AC" w:rsidRPr="00D20046" w:rsidRDefault="00CF57AC" w:rsidP="00023CC6">
            <w:pPr>
              <w:spacing w:after="120"/>
              <w:jc w:val="both"/>
              <w:rPr>
                <w:sz w:val="16"/>
                <w:szCs w:val="15"/>
                <w:lang w:val="en-US"/>
              </w:rPr>
            </w:pPr>
          </w:p>
        </w:tc>
        <w:tc>
          <w:tcPr>
            <w:tcW w:w="160" w:type="dxa"/>
            <w:tcBorders>
              <w:right w:val="single" w:sz="4" w:space="0" w:color="C00000"/>
            </w:tcBorders>
          </w:tcPr>
          <w:p w14:paraId="37003513" w14:textId="77777777" w:rsidR="000D26E3" w:rsidRPr="00336A7D" w:rsidRDefault="000D26E3" w:rsidP="00A90198">
            <w:pPr>
              <w:jc w:val="center"/>
              <w:rPr>
                <w:b/>
                <w:sz w:val="18"/>
                <w:highlight w:val="yellow"/>
                <w:lang w:val="en-US"/>
              </w:rPr>
            </w:pPr>
          </w:p>
        </w:tc>
        <w:tc>
          <w:tcPr>
            <w:tcW w:w="4606" w:type="dxa"/>
            <w:tcBorders>
              <w:top w:val="single" w:sz="4" w:space="0" w:color="C00000"/>
              <w:bottom w:val="single" w:sz="4" w:space="0" w:color="C00000"/>
              <w:right w:val="single" w:sz="4" w:space="0" w:color="C00000"/>
            </w:tcBorders>
          </w:tcPr>
          <w:p w14:paraId="1E00EC53" w14:textId="77777777" w:rsidR="0065201F" w:rsidRDefault="0065201F" w:rsidP="002845B0">
            <w:pPr>
              <w:rPr>
                <w:sz w:val="8"/>
                <w:szCs w:val="8"/>
                <w:lang w:val="en-US"/>
              </w:rPr>
            </w:pPr>
          </w:p>
          <w:p w14:paraId="3AE4A9DD" w14:textId="77777777" w:rsidR="003B6D95" w:rsidRDefault="003B6D95" w:rsidP="002845B0">
            <w:pPr>
              <w:rPr>
                <w:sz w:val="8"/>
                <w:szCs w:val="8"/>
                <w:lang w:val="en-US"/>
              </w:rPr>
            </w:pPr>
          </w:p>
          <w:p w14:paraId="71555BC6" w14:textId="77777777" w:rsidR="003B6D95" w:rsidRPr="00F017DE" w:rsidRDefault="003B6D95" w:rsidP="002845B0">
            <w:pPr>
              <w:rPr>
                <w:sz w:val="8"/>
                <w:szCs w:val="8"/>
                <w:lang w:val="en-US"/>
              </w:rPr>
            </w:pPr>
          </w:p>
          <w:p w14:paraId="2476FE80" w14:textId="001F74F5" w:rsidR="0065201F" w:rsidRPr="00F017DE" w:rsidRDefault="002823DD" w:rsidP="00511D76">
            <w:pPr>
              <w:rPr>
                <w:i/>
                <w:sz w:val="12"/>
                <w:szCs w:val="12"/>
                <w:lang w:val="en-US"/>
              </w:rPr>
            </w:pPr>
            <w:r w:rsidRPr="002823DD">
              <w:rPr>
                <w:i/>
                <w:noProof/>
                <w:sz w:val="12"/>
                <w:szCs w:val="12"/>
                <w:lang w:val="en-US" w:eastAsia="en-US"/>
              </w:rPr>
              <w:drawing>
                <wp:inline distT="0" distB="0" distL="0" distR="0" wp14:anchorId="6B744D28" wp14:editId="7C130122">
                  <wp:extent cx="2838450" cy="1695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695450"/>
                          </a:xfrm>
                          <a:prstGeom prst="rect">
                            <a:avLst/>
                          </a:prstGeom>
                          <a:noFill/>
                          <a:ln>
                            <a:noFill/>
                          </a:ln>
                        </pic:spPr>
                      </pic:pic>
                    </a:graphicData>
                  </a:graphic>
                </wp:inline>
              </w:drawing>
            </w:r>
          </w:p>
          <w:p w14:paraId="040E3FE2" w14:textId="77777777" w:rsidR="00E80E84" w:rsidRPr="00F017DE" w:rsidRDefault="00E80E84" w:rsidP="00AA14A0">
            <w:pPr>
              <w:ind w:left="101"/>
              <w:rPr>
                <w:i/>
                <w:sz w:val="12"/>
                <w:szCs w:val="12"/>
                <w:lang w:val="en-US"/>
              </w:rPr>
            </w:pPr>
          </w:p>
          <w:p w14:paraId="3187D8F8" w14:textId="2907D549" w:rsidR="003B6D95" w:rsidRDefault="000D26E3" w:rsidP="008E4232">
            <w:pPr>
              <w:ind w:left="101"/>
              <w:rPr>
                <w:i/>
                <w:sz w:val="14"/>
                <w:szCs w:val="14"/>
                <w:lang w:val="en-US"/>
              </w:rPr>
            </w:pPr>
            <w:r w:rsidRPr="00F017DE">
              <w:rPr>
                <w:i/>
                <w:sz w:val="14"/>
                <w:szCs w:val="14"/>
                <w:lang w:val="en-US"/>
              </w:rPr>
              <w:t xml:space="preserve">Performance since launch vs. </w:t>
            </w:r>
            <w:r w:rsidR="007112C1">
              <w:rPr>
                <w:i/>
                <w:sz w:val="14"/>
                <w:szCs w:val="14"/>
                <w:lang w:val="en-US"/>
              </w:rPr>
              <w:t xml:space="preserve">Custom Benchmark: </w:t>
            </w:r>
            <w:r w:rsidRPr="00F017DE">
              <w:rPr>
                <w:i/>
                <w:sz w:val="14"/>
                <w:szCs w:val="14"/>
                <w:lang w:val="en-US"/>
              </w:rPr>
              <w:t>Source</w:t>
            </w:r>
            <w:r w:rsidR="00AA14A0" w:rsidRPr="00F017DE">
              <w:rPr>
                <w:i/>
                <w:sz w:val="14"/>
                <w:szCs w:val="14"/>
                <w:lang w:val="en-US"/>
              </w:rPr>
              <w:t>:</w:t>
            </w:r>
            <w:r w:rsidRPr="00F017DE">
              <w:rPr>
                <w:i/>
                <w:sz w:val="14"/>
                <w:szCs w:val="14"/>
                <w:lang w:val="en-US"/>
              </w:rPr>
              <w:t xml:space="preserve"> Bloomberg</w:t>
            </w:r>
          </w:p>
          <w:p w14:paraId="4FBBD9E0" w14:textId="77777777" w:rsidR="00657364" w:rsidRDefault="00657364" w:rsidP="007112C1">
            <w:pPr>
              <w:ind w:left="101"/>
              <w:rPr>
                <w:i/>
                <w:sz w:val="14"/>
                <w:szCs w:val="14"/>
                <w:lang w:val="en-US"/>
              </w:rPr>
            </w:pPr>
          </w:p>
          <w:p w14:paraId="17B9754A" w14:textId="4A3821F1" w:rsidR="007112C1" w:rsidRPr="00F017DE" w:rsidRDefault="002823DD" w:rsidP="00816AB0">
            <w:pPr>
              <w:rPr>
                <w:i/>
                <w:sz w:val="14"/>
                <w:szCs w:val="14"/>
                <w:lang w:val="en-US"/>
              </w:rPr>
            </w:pPr>
            <w:r w:rsidRPr="002823DD">
              <w:rPr>
                <w:i/>
                <w:noProof/>
                <w:sz w:val="14"/>
                <w:szCs w:val="14"/>
                <w:lang w:val="en-US" w:eastAsia="en-US"/>
              </w:rPr>
              <w:drawing>
                <wp:inline distT="0" distB="0" distL="0" distR="0" wp14:anchorId="39292262" wp14:editId="6BCD9E20">
                  <wp:extent cx="2838450" cy="1704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704975"/>
                          </a:xfrm>
                          <a:prstGeom prst="rect">
                            <a:avLst/>
                          </a:prstGeom>
                          <a:noFill/>
                          <a:ln>
                            <a:noFill/>
                          </a:ln>
                        </pic:spPr>
                      </pic:pic>
                    </a:graphicData>
                  </a:graphic>
                </wp:inline>
              </w:drawing>
            </w:r>
          </w:p>
          <w:p w14:paraId="40D5442A" w14:textId="77777777" w:rsidR="00925A45" w:rsidRPr="00F017DE" w:rsidRDefault="00925A45" w:rsidP="000D26E3">
            <w:pPr>
              <w:rPr>
                <w:sz w:val="16"/>
                <w:szCs w:val="16"/>
                <w:lang w:val="en-US"/>
              </w:rPr>
            </w:pPr>
          </w:p>
          <w:p w14:paraId="50A4E682" w14:textId="04AFEC0D" w:rsidR="007112C1" w:rsidRDefault="00B170B9" w:rsidP="00CC2DDF">
            <w:pPr>
              <w:ind w:left="101"/>
              <w:rPr>
                <w:i/>
                <w:sz w:val="14"/>
                <w:szCs w:val="14"/>
                <w:lang w:val="en-US"/>
              </w:rPr>
            </w:pPr>
            <w:r>
              <w:rPr>
                <w:i/>
                <w:sz w:val="14"/>
                <w:szCs w:val="14"/>
                <w:lang w:val="en-US"/>
              </w:rPr>
              <w:t>Performance YTD</w:t>
            </w:r>
            <w:r w:rsidR="007112C1">
              <w:rPr>
                <w:i/>
                <w:sz w:val="14"/>
                <w:szCs w:val="14"/>
                <w:lang w:val="en-US"/>
              </w:rPr>
              <w:t xml:space="preserve"> vs Custom Benchmark: Source Bloomberg</w:t>
            </w:r>
          </w:p>
          <w:p w14:paraId="612BEE9A" w14:textId="77777777" w:rsidR="007112C1" w:rsidRDefault="007112C1" w:rsidP="00CC2DDF">
            <w:pPr>
              <w:ind w:left="101"/>
              <w:rPr>
                <w:i/>
                <w:sz w:val="14"/>
                <w:szCs w:val="14"/>
                <w:lang w:val="en-US"/>
              </w:rPr>
            </w:pPr>
          </w:p>
          <w:p w14:paraId="6D6D80EE" w14:textId="77777777" w:rsidR="00F12847" w:rsidRPr="00CC2DDF" w:rsidRDefault="007112C1" w:rsidP="00277476">
            <w:pPr>
              <w:ind w:left="101"/>
              <w:rPr>
                <w:i/>
                <w:sz w:val="14"/>
                <w:szCs w:val="14"/>
                <w:lang w:val="en-US"/>
              </w:rPr>
            </w:pPr>
            <w:r>
              <w:rPr>
                <w:i/>
                <w:sz w:val="14"/>
                <w:szCs w:val="14"/>
                <w:lang w:val="en-US"/>
              </w:rPr>
              <w:t>Custom Benchmark:</w:t>
            </w:r>
            <w:r w:rsidR="00277476">
              <w:rPr>
                <w:i/>
                <w:sz w:val="14"/>
                <w:szCs w:val="14"/>
                <w:lang w:val="en-US"/>
              </w:rPr>
              <w:t xml:space="preserve"> 50% EuroStoxx600, 25% S&amp;P500, 15</w:t>
            </w:r>
            <w:r>
              <w:rPr>
                <w:i/>
                <w:sz w:val="14"/>
                <w:szCs w:val="14"/>
                <w:lang w:val="en-US"/>
              </w:rPr>
              <w:t xml:space="preserve">% SMI, </w:t>
            </w:r>
            <w:r w:rsidR="00277476">
              <w:rPr>
                <w:i/>
                <w:sz w:val="14"/>
                <w:szCs w:val="14"/>
                <w:lang w:val="en-US"/>
              </w:rPr>
              <w:t>10</w:t>
            </w:r>
            <w:r>
              <w:rPr>
                <w:i/>
                <w:sz w:val="14"/>
                <w:szCs w:val="14"/>
                <w:lang w:val="en-US"/>
              </w:rPr>
              <w:t>% FTSE100, all in EUR</w:t>
            </w:r>
          </w:p>
        </w:tc>
      </w:tr>
    </w:tbl>
    <w:p w14:paraId="1CE8F546" w14:textId="77777777" w:rsidR="007C107D" w:rsidRPr="00835938" w:rsidRDefault="007C107D" w:rsidP="007C107D">
      <w:pPr>
        <w:pStyle w:val="Heading1"/>
        <w:spacing w:before="0"/>
        <w:rPr>
          <w:rFonts w:asciiTheme="minorHAnsi" w:hAnsiTheme="minorHAnsi"/>
          <w:color w:val="C00000"/>
          <w:sz w:val="24"/>
          <w:lang w:val="en-US"/>
        </w:rPr>
      </w:pPr>
      <w:r>
        <w:rPr>
          <w:rFonts w:asciiTheme="minorHAnsi" w:hAnsiTheme="minorHAnsi"/>
          <w:color w:val="C00000"/>
          <w:sz w:val="24"/>
          <w:lang w:val="en-US"/>
        </w:rPr>
        <w:lastRenderedPageBreak/>
        <w:t>Returns</w:t>
      </w:r>
    </w:p>
    <w:p w14:paraId="30165160" w14:textId="77777777" w:rsidR="00A90198" w:rsidRPr="00835938" w:rsidRDefault="00A90198" w:rsidP="0085455F">
      <w:pPr>
        <w:rPr>
          <w:sz w:val="2"/>
          <w:lang w:val="en-US"/>
        </w:rPr>
      </w:pPr>
    </w:p>
    <w:tbl>
      <w:tblPr>
        <w:tblStyle w:val="TableGrid"/>
        <w:tblW w:w="5598"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157"/>
      </w:tblGrid>
      <w:tr w:rsidR="002C3625" w:rsidRPr="001153A8" w14:paraId="26076AAC" w14:textId="77777777" w:rsidTr="003D6FE8">
        <w:tc>
          <w:tcPr>
            <w:tcW w:w="10157" w:type="dxa"/>
          </w:tcPr>
          <w:tbl>
            <w:tblPr>
              <w:tblStyle w:val="TableGrid"/>
              <w:tblW w:w="9177" w:type="dxa"/>
              <w:tblLayout w:type="fixed"/>
              <w:tblLook w:val="04A0" w:firstRow="1" w:lastRow="0" w:firstColumn="1" w:lastColumn="0" w:noHBand="0" w:noVBand="1"/>
            </w:tblPr>
            <w:tblGrid>
              <w:gridCol w:w="530"/>
              <w:gridCol w:w="762"/>
              <w:gridCol w:w="656"/>
              <w:gridCol w:w="636"/>
              <w:gridCol w:w="646"/>
              <w:gridCol w:w="646"/>
              <w:gridCol w:w="646"/>
              <w:gridCol w:w="646"/>
              <w:gridCol w:w="646"/>
              <w:gridCol w:w="646"/>
              <w:gridCol w:w="646"/>
              <w:gridCol w:w="646"/>
              <w:gridCol w:w="646"/>
              <w:gridCol w:w="779"/>
            </w:tblGrid>
            <w:tr w:rsidR="002C3625" w:rsidRPr="006047A5" w14:paraId="05B38A4D" w14:textId="77777777" w:rsidTr="009D716A">
              <w:trPr>
                <w:trHeight w:val="227"/>
              </w:trPr>
              <w:tc>
                <w:tcPr>
                  <w:tcW w:w="530" w:type="dxa"/>
                  <w:shd w:val="clear" w:color="auto" w:fill="D9D9D9" w:themeFill="background1" w:themeFillShade="D9"/>
                  <w:vAlign w:val="center"/>
                </w:tcPr>
                <w:p w14:paraId="633CACA2"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p>
              </w:tc>
              <w:tc>
                <w:tcPr>
                  <w:tcW w:w="762" w:type="dxa"/>
                  <w:shd w:val="clear" w:color="auto" w:fill="D9D9D9" w:themeFill="background1" w:themeFillShade="D9"/>
                  <w:vAlign w:val="center"/>
                </w:tcPr>
                <w:p w14:paraId="29B7BE1C"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Jan</w:t>
                  </w:r>
                </w:p>
              </w:tc>
              <w:tc>
                <w:tcPr>
                  <w:tcW w:w="656" w:type="dxa"/>
                  <w:shd w:val="clear" w:color="auto" w:fill="D9D9D9" w:themeFill="background1" w:themeFillShade="D9"/>
                  <w:vAlign w:val="center"/>
                </w:tcPr>
                <w:p w14:paraId="09050A4C"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Feb</w:t>
                  </w:r>
                </w:p>
              </w:tc>
              <w:tc>
                <w:tcPr>
                  <w:tcW w:w="636" w:type="dxa"/>
                  <w:shd w:val="clear" w:color="auto" w:fill="D9D9D9" w:themeFill="background1" w:themeFillShade="D9"/>
                  <w:vAlign w:val="center"/>
                </w:tcPr>
                <w:p w14:paraId="2168BC16"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Mar</w:t>
                  </w:r>
                </w:p>
              </w:tc>
              <w:tc>
                <w:tcPr>
                  <w:tcW w:w="646" w:type="dxa"/>
                  <w:shd w:val="clear" w:color="auto" w:fill="D9D9D9" w:themeFill="background1" w:themeFillShade="D9"/>
                  <w:vAlign w:val="center"/>
                </w:tcPr>
                <w:p w14:paraId="4A044D7E"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Apr</w:t>
                  </w:r>
                </w:p>
              </w:tc>
              <w:tc>
                <w:tcPr>
                  <w:tcW w:w="646" w:type="dxa"/>
                  <w:shd w:val="clear" w:color="auto" w:fill="D9D9D9" w:themeFill="background1" w:themeFillShade="D9"/>
                  <w:vAlign w:val="center"/>
                </w:tcPr>
                <w:p w14:paraId="221DA8C7"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May</w:t>
                  </w:r>
                </w:p>
              </w:tc>
              <w:tc>
                <w:tcPr>
                  <w:tcW w:w="646" w:type="dxa"/>
                  <w:shd w:val="clear" w:color="auto" w:fill="D9D9D9" w:themeFill="background1" w:themeFillShade="D9"/>
                  <w:vAlign w:val="center"/>
                </w:tcPr>
                <w:p w14:paraId="66E09123"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Jun</w:t>
                  </w:r>
                </w:p>
              </w:tc>
              <w:tc>
                <w:tcPr>
                  <w:tcW w:w="646" w:type="dxa"/>
                  <w:shd w:val="clear" w:color="auto" w:fill="D9D9D9" w:themeFill="background1" w:themeFillShade="D9"/>
                  <w:vAlign w:val="center"/>
                </w:tcPr>
                <w:p w14:paraId="502CEA6B"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Jul</w:t>
                  </w:r>
                </w:p>
              </w:tc>
              <w:tc>
                <w:tcPr>
                  <w:tcW w:w="646" w:type="dxa"/>
                  <w:shd w:val="clear" w:color="auto" w:fill="D9D9D9" w:themeFill="background1" w:themeFillShade="D9"/>
                  <w:vAlign w:val="center"/>
                </w:tcPr>
                <w:p w14:paraId="6629EAA1"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Aug</w:t>
                  </w:r>
                </w:p>
              </w:tc>
              <w:tc>
                <w:tcPr>
                  <w:tcW w:w="646" w:type="dxa"/>
                  <w:shd w:val="clear" w:color="auto" w:fill="D9D9D9" w:themeFill="background1" w:themeFillShade="D9"/>
                  <w:vAlign w:val="center"/>
                </w:tcPr>
                <w:p w14:paraId="711B0192"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Sep</w:t>
                  </w:r>
                </w:p>
              </w:tc>
              <w:tc>
                <w:tcPr>
                  <w:tcW w:w="646" w:type="dxa"/>
                  <w:shd w:val="clear" w:color="auto" w:fill="D9D9D9" w:themeFill="background1" w:themeFillShade="D9"/>
                  <w:vAlign w:val="center"/>
                </w:tcPr>
                <w:p w14:paraId="34182B23"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Oct</w:t>
                  </w:r>
                </w:p>
              </w:tc>
              <w:tc>
                <w:tcPr>
                  <w:tcW w:w="646" w:type="dxa"/>
                  <w:shd w:val="clear" w:color="auto" w:fill="D9D9D9" w:themeFill="background1" w:themeFillShade="D9"/>
                  <w:vAlign w:val="center"/>
                </w:tcPr>
                <w:p w14:paraId="1E3BA32D"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Nov</w:t>
                  </w:r>
                </w:p>
              </w:tc>
              <w:tc>
                <w:tcPr>
                  <w:tcW w:w="646" w:type="dxa"/>
                  <w:shd w:val="clear" w:color="auto" w:fill="D9D9D9" w:themeFill="background1" w:themeFillShade="D9"/>
                  <w:vAlign w:val="center"/>
                </w:tcPr>
                <w:p w14:paraId="70EFB76F"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Dec</w:t>
                  </w:r>
                </w:p>
              </w:tc>
              <w:tc>
                <w:tcPr>
                  <w:tcW w:w="779" w:type="dxa"/>
                  <w:shd w:val="clear" w:color="auto" w:fill="D9D9D9" w:themeFill="background1" w:themeFillShade="D9"/>
                  <w:vAlign w:val="center"/>
                </w:tcPr>
                <w:p w14:paraId="375CFF1B" w14:textId="77777777" w:rsidR="002C3625" w:rsidRPr="001B1F78" w:rsidRDefault="002C3625" w:rsidP="008E5A6A">
                  <w:pPr>
                    <w:pStyle w:val="Heading1"/>
                    <w:spacing w:before="0"/>
                    <w:jc w:val="center"/>
                    <w:outlineLvl w:val="0"/>
                    <w:rPr>
                      <w:rFonts w:asciiTheme="minorHAnsi" w:hAnsiTheme="minorHAnsi"/>
                      <w:color w:val="auto"/>
                      <w:sz w:val="15"/>
                      <w:szCs w:val="15"/>
                      <w:lang w:val="en-US"/>
                    </w:rPr>
                  </w:pPr>
                  <w:r w:rsidRPr="001B1F78">
                    <w:rPr>
                      <w:rFonts w:asciiTheme="minorHAnsi" w:hAnsiTheme="minorHAnsi"/>
                      <w:color w:val="auto"/>
                      <w:sz w:val="15"/>
                      <w:szCs w:val="15"/>
                      <w:lang w:val="en-US"/>
                    </w:rPr>
                    <w:t>YTD</w:t>
                  </w:r>
                </w:p>
              </w:tc>
            </w:tr>
            <w:tr w:rsidR="002C3625" w:rsidRPr="006047A5" w14:paraId="46A14A1F" w14:textId="77777777" w:rsidTr="009D716A">
              <w:trPr>
                <w:trHeight w:val="20"/>
              </w:trPr>
              <w:tc>
                <w:tcPr>
                  <w:tcW w:w="530" w:type="dxa"/>
                  <w:shd w:val="clear" w:color="auto" w:fill="D9D9D9" w:themeFill="background1" w:themeFillShade="D9"/>
                  <w:vAlign w:val="center"/>
                </w:tcPr>
                <w:p w14:paraId="53CD5721"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2013</w:t>
                  </w:r>
                </w:p>
              </w:tc>
              <w:tc>
                <w:tcPr>
                  <w:tcW w:w="762" w:type="dxa"/>
                  <w:vAlign w:val="center"/>
                </w:tcPr>
                <w:p w14:paraId="07947ECF"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56" w:type="dxa"/>
                  <w:vAlign w:val="center"/>
                </w:tcPr>
                <w:p w14:paraId="66D17B4D"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36" w:type="dxa"/>
                  <w:vAlign w:val="center"/>
                </w:tcPr>
                <w:p w14:paraId="0D742A5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3C891EA0"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7368C3D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52E7956"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-0.45%</w:t>
                  </w:r>
                </w:p>
              </w:tc>
              <w:tc>
                <w:tcPr>
                  <w:tcW w:w="646" w:type="dxa"/>
                  <w:vAlign w:val="center"/>
                </w:tcPr>
                <w:p w14:paraId="32F18487"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3.76%</w:t>
                  </w:r>
                </w:p>
              </w:tc>
              <w:tc>
                <w:tcPr>
                  <w:tcW w:w="646" w:type="dxa"/>
                  <w:vAlign w:val="center"/>
                </w:tcPr>
                <w:p w14:paraId="7675EFEE"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-1.26%</w:t>
                  </w:r>
                </w:p>
              </w:tc>
              <w:tc>
                <w:tcPr>
                  <w:tcW w:w="646" w:type="dxa"/>
                  <w:vAlign w:val="center"/>
                </w:tcPr>
                <w:p w14:paraId="258262D7"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3.13%</w:t>
                  </w:r>
                </w:p>
              </w:tc>
              <w:tc>
                <w:tcPr>
                  <w:tcW w:w="646" w:type="dxa"/>
                  <w:vAlign w:val="center"/>
                </w:tcPr>
                <w:p w14:paraId="1616A2CE"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2.37%</w:t>
                  </w:r>
                </w:p>
              </w:tc>
              <w:tc>
                <w:tcPr>
                  <w:tcW w:w="646" w:type="dxa"/>
                  <w:vAlign w:val="center"/>
                </w:tcPr>
                <w:p w14:paraId="7D70845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1.85%</w:t>
                  </w:r>
                </w:p>
              </w:tc>
              <w:tc>
                <w:tcPr>
                  <w:tcW w:w="646" w:type="dxa"/>
                  <w:vAlign w:val="center"/>
                </w:tcPr>
                <w:p w14:paraId="6092C13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-0.45%</w:t>
                  </w:r>
                </w:p>
              </w:tc>
              <w:tc>
                <w:tcPr>
                  <w:tcW w:w="779" w:type="dxa"/>
                  <w:vAlign w:val="center"/>
                </w:tcPr>
                <w:p w14:paraId="790B6EA9"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9.18%</w:t>
                  </w:r>
                </w:p>
              </w:tc>
            </w:tr>
            <w:tr w:rsidR="002C3625" w:rsidRPr="006047A5" w14:paraId="182CEBD9" w14:textId="77777777" w:rsidTr="009D716A">
              <w:trPr>
                <w:trHeight w:val="20"/>
              </w:trPr>
              <w:tc>
                <w:tcPr>
                  <w:tcW w:w="530" w:type="dxa"/>
                  <w:shd w:val="clear" w:color="auto" w:fill="D9D9D9" w:themeFill="background1" w:themeFillShade="D9"/>
                  <w:vAlign w:val="center"/>
                </w:tcPr>
                <w:p w14:paraId="34A56380"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2014</w:t>
                  </w:r>
                </w:p>
              </w:tc>
              <w:tc>
                <w:tcPr>
                  <w:tcW w:w="762" w:type="dxa"/>
                  <w:vAlign w:val="center"/>
                </w:tcPr>
                <w:p w14:paraId="47E6EFFB"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-2.29%</w:t>
                  </w:r>
                </w:p>
              </w:tc>
              <w:tc>
                <w:tcPr>
                  <w:tcW w:w="656" w:type="dxa"/>
                  <w:vAlign w:val="center"/>
                </w:tcPr>
                <w:p w14:paraId="019138CB"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3.09%</w:t>
                  </w:r>
                </w:p>
              </w:tc>
              <w:tc>
                <w:tcPr>
                  <w:tcW w:w="636" w:type="dxa"/>
                  <w:vAlign w:val="center"/>
                </w:tcPr>
                <w:p w14:paraId="3B3C7799"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0.73%</w:t>
                  </w:r>
                </w:p>
              </w:tc>
              <w:tc>
                <w:tcPr>
                  <w:tcW w:w="646" w:type="dxa"/>
                  <w:vAlign w:val="center"/>
                </w:tcPr>
                <w:p w14:paraId="19C4F6B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1.53%</w:t>
                  </w:r>
                </w:p>
              </w:tc>
              <w:tc>
                <w:tcPr>
                  <w:tcW w:w="646" w:type="dxa"/>
                  <w:vAlign w:val="center"/>
                </w:tcPr>
                <w:p w14:paraId="343A5A8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2.66%</w:t>
                  </w:r>
                </w:p>
              </w:tc>
              <w:tc>
                <w:tcPr>
                  <w:tcW w:w="646" w:type="dxa"/>
                  <w:vAlign w:val="center"/>
                </w:tcPr>
                <w:p w14:paraId="3DB074F1"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0.43%</w:t>
                  </w:r>
                </w:p>
              </w:tc>
              <w:tc>
                <w:tcPr>
                  <w:tcW w:w="646" w:type="dxa"/>
                  <w:vAlign w:val="center"/>
                </w:tcPr>
                <w:p w14:paraId="3583115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-1.12%</w:t>
                  </w:r>
                </w:p>
              </w:tc>
              <w:tc>
                <w:tcPr>
                  <w:tcW w:w="646" w:type="dxa"/>
                  <w:vAlign w:val="center"/>
                </w:tcPr>
                <w:p w14:paraId="003D6E55"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1.13%</w:t>
                  </w:r>
                </w:p>
              </w:tc>
              <w:tc>
                <w:tcPr>
                  <w:tcW w:w="646" w:type="dxa"/>
                  <w:vAlign w:val="center"/>
                </w:tcPr>
                <w:p w14:paraId="4FBE750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0.95%</w:t>
                  </w:r>
                </w:p>
              </w:tc>
              <w:tc>
                <w:tcPr>
                  <w:tcW w:w="646" w:type="dxa"/>
                  <w:vAlign w:val="center"/>
                </w:tcPr>
                <w:p w14:paraId="589CE962"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-0.60%</w:t>
                  </w:r>
                </w:p>
              </w:tc>
              <w:tc>
                <w:tcPr>
                  <w:tcW w:w="646" w:type="dxa"/>
                  <w:vAlign w:val="center"/>
                </w:tcPr>
                <w:p w14:paraId="16B23A4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6.09%</w:t>
                  </w:r>
                </w:p>
              </w:tc>
              <w:tc>
                <w:tcPr>
                  <w:tcW w:w="646" w:type="dxa"/>
                  <w:vAlign w:val="center"/>
                </w:tcPr>
                <w:p w14:paraId="4E72A24A"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-2.26%</w:t>
                  </w:r>
                </w:p>
              </w:tc>
              <w:tc>
                <w:tcPr>
                  <w:tcW w:w="779" w:type="dxa"/>
                  <w:vAlign w:val="center"/>
                </w:tcPr>
                <w:p w14:paraId="1EC8CB53"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10.52%</w:t>
                  </w:r>
                </w:p>
              </w:tc>
            </w:tr>
            <w:tr w:rsidR="002C3625" w:rsidRPr="006047A5" w14:paraId="48843978" w14:textId="77777777" w:rsidTr="009D716A">
              <w:trPr>
                <w:trHeight w:val="20"/>
              </w:trPr>
              <w:tc>
                <w:tcPr>
                  <w:tcW w:w="530" w:type="dxa"/>
                  <w:shd w:val="clear" w:color="auto" w:fill="D9D9D9" w:themeFill="background1" w:themeFillShade="D9"/>
                  <w:vAlign w:val="center"/>
                </w:tcPr>
                <w:p w14:paraId="0E609C42" w14:textId="77777777" w:rsidR="002C3625" w:rsidRPr="001B1F78" w:rsidRDefault="002C3625"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2015</w:t>
                  </w:r>
                </w:p>
              </w:tc>
              <w:tc>
                <w:tcPr>
                  <w:tcW w:w="762" w:type="dxa"/>
                  <w:vAlign w:val="center"/>
                </w:tcPr>
                <w:p w14:paraId="2B573AD6"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7.71%</w:t>
                  </w:r>
                </w:p>
              </w:tc>
              <w:tc>
                <w:tcPr>
                  <w:tcW w:w="656" w:type="dxa"/>
                  <w:vAlign w:val="center"/>
                </w:tcPr>
                <w:p w14:paraId="4C78F9AF"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0.77%</w:t>
                  </w:r>
                </w:p>
              </w:tc>
              <w:tc>
                <w:tcPr>
                  <w:tcW w:w="636" w:type="dxa"/>
                  <w:vAlign w:val="center"/>
                </w:tcPr>
                <w:p w14:paraId="580F9586"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5.42%</w:t>
                  </w:r>
                </w:p>
              </w:tc>
              <w:tc>
                <w:tcPr>
                  <w:tcW w:w="646" w:type="dxa"/>
                  <w:vAlign w:val="center"/>
                </w:tcPr>
                <w:p w14:paraId="68E8258C"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2.75%</w:t>
                  </w:r>
                </w:p>
              </w:tc>
              <w:tc>
                <w:tcPr>
                  <w:tcW w:w="646" w:type="dxa"/>
                  <w:vAlign w:val="center"/>
                </w:tcPr>
                <w:p w14:paraId="2CF54CF8"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-1.34%</w:t>
                  </w:r>
                </w:p>
              </w:tc>
              <w:tc>
                <w:tcPr>
                  <w:tcW w:w="646" w:type="dxa"/>
                  <w:vAlign w:val="center"/>
                </w:tcPr>
                <w:p w14:paraId="59968927" w14:textId="77777777" w:rsidR="002C3625" w:rsidRPr="001B1F78" w:rsidRDefault="002C36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-4.10%</w:t>
                  </w:r>
                </w:p>
              </w:tc>
              <w:tc>
                <w:tcPr>
                  <w:tcW w:w="646" w:type="dxa"/>
                  <w:vAlign w:val="center"/>
                </w:tcPr>
                <w:p w14:paraId="7F188CCF" w14:textId="77777777" w:rsidR="002C3625" w:rsidRPr="001B1F78" w:rsidRDefault="00BF485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3.76%</w:t>
                  </w:r>
                </w:p>
              </w:tc>
              <w:tc>
                <w:tcPr>
                  <w:tcW w:w="646" w:type="dxa"/>
                  <w:vAlign w:val="center"/>
                </w:tcPr>
                <w:p w14:paraId="6BDED3C3" w14:textId="77777777" w:rsidR="002C3625" w:rsidRPr="001B1F78" w:rsidRDefault="0065201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-8.30</w:t>
                  </w:r>
                  <w:r w:rsidR="00E5685E">
                    <w:rPr>
                      <w:rFonts w:asciiTheme="minorHAnsi" w:hAnsiTheme="minorHAnsi"/>
                      <w:b w:val="0"/>
                      <w:color w:val="auto"/>
                      <w:sz w:val="15"/>
                      <w:szCs w:val="15"/>
                      <w:lang w:val="en-US"/>
                    </w:rPr>
                    <w:t>%</w:t>
                  </w:r>
                </w:p>
              </w:tc>
              <w:tc>
                <w:tcPr>
                  <w:tcW w:w="646" w:type="dxa"/>
                  <w:vAlign w:val="center"/>
                </w:tcPr>
                <w:p w14:paraId="5E6ED5B3" w14:textId="77777777" w:rsidR="002C3625" w:rsidRPr="001B1F78" w:rsidRDefault="00855CC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-0.70</w:t>
                  </w:r>
                  <w:r w:rsidR="00E5685E">
                    <w:rPr>
                      <w:rFonts w:asciiTheme="minorHAnsi" w:hAnsiTheme="minorHAnsi"/>
                      <w:b w:val="0"/>
                      <w:color w:val="auto"/>
                      <w:sz w:val="15"/>
                      <w:szCs w:val="15"/>
                      <w:lang w:val="en-US"/>
                    </w:rPr>
                    <w:t>%</w:t>
                  </w:r>
                </w:p>
              </w:tc>
              <w:tc>
                <w:tcPr>
                  <w:tcW w:w="646" w:type="dxa"/>
                  <w:vAlign w:val="center"/>
                </w:tcPr>
                <w:p w14:paraId="5D092997" w14:textId="77777777" w:rsidR="002C3625" w:rsidRPr="001B1F78" w:rsidRDefault="000D0CCB"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3.59%</w:t>
                  </w:r>
                </w:p>
              </w:tc>
              <w:tc>
                <w:tcPr>
                  <w:tcW w:w="646" w:type="dxa"/>
                  <w:vAlign w:val="center"/>
                </w:tcPr>
                <w:p w14:paraId="438D5F78" w14:textId="77777777" w:rsidR="002C3625" w:rsidRPr="001B1F78" w:rsidRDefault="001746B1"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1.96%</w:t>
                  </w:r>
                </w:p>
              </w:tc>
              <w:tc>
                <w:tcPr>
                  <w:tcW w:w="646" w:type="dxa"/>
                  <w:vAlign w:val="center"/>
                </w:tcPr>
                <w:p w14:paraId="219461BA" w14:textId="77777777" w:rsidR="002C3625" w:rsidRPr="001B1F78" w:rsidRDefault="00B6149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-3.47%</w:t>
                  </w:r>
                </w:p>
              </w:tc>
              <w:tc>
                <w:tcPr>
                  <w:tcW w:w="779" w:type="dxa"/>
                  <w:vAlign w:val="center"/>
                </w:tcPr>
                <w:p w14:paraId="5475DBF5" w14:textId="77777777" w:rsidR="002C3625" w:rsidRPr="001B1F78" w:rsidRDefault="00B61498"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8.19</w:t>
                  </w:r>
                  <w:r w:rsidR="001746B1">
                    <w:rPr>
                      <w:rFonts w:asciiTheme="minorHAnsi" w:hAnsiTheme="minorHAnsi"/>
                      <w:color w:val="auto"/>
                      <w:sz w:val="15"/>
                      <w:szCs w:val="15"/>
                      <w:lang w:val="en-US"/>
                    </w:rPr>
                    <w:t>%</w:t>
                  </w:r>
                </w:p>
              </w:tc>
            </w:tr>
            <w:tr w:rsidR="00E2411D" w:rsidRPr="006047A5" w14:paraId="7EC97BAB" w14:textId="77777777" w:rsidTr="009D716A">
              <w:trPr>
                <w:trHeight w:val="20"/>
              </w:trPr>
              <w:tc>
                <w:tcPr>
                  <w:tcW w:w="530" w:type="dxa"/>
                  <w:shd w:val="clear" w:color="auto" w:fill="D9D9D9" w:themeFill="background1" w:themeFillShade="D9"/>
                  <w:vAlign w:val="center"/>
                </w:tcPr>
                <w:p w14:paraId="139D86EA" w14:textId="77777777" w:rsidR="00E2411D" w:rsidRDefault="00E2411D"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2016</w:t>
                  </w:r>
                </w:p>
              </w:tc>
              <w:tc>
                <w:tcPr>
                  <w:tcW w:w="762" w:type="dxa"/>
                  <w:vAlign w:val="center"/>
                </w:tcPr>
                <w:p w14:paraId="1D4D7C14" w14:textId="77777777" w:rsidR="00E2411D" w:rsidRDefault="00C4123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5F706F">
                    <w:rPr>
                      <w:rFonts w:asciiTheme="minorHAnsi" w:hAnsiTheme="minorHAnsi"/>
                      <w:b w:val="0"/>
                      <w:color w:val="auto"/>
                      <w:sz w:val="15"/>
                      <w:szCs w:val="15"/>
                      <w:lang w:val="en-US"/>
                    </w:rPr>
                    <w:t>4.97%</w:t>
                  </w:r>
                </w:p>
              </w:tc>
              <w:tc>
                <w:tcPr>
                  <w:tcW w:w="656" w:type="dxa"/>
                  <w:vAlign w:val="center"/>
                </w:tcPr>
                <w:p w14:paraId="409DC02A" w14:textId="77777777" w:rsidR="00E2411D" w:rsidRDefault="009A6B5C"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5F706F">
                    <w:rPr>
                      <w:rFonts w:asciiTheme="minorHAnsi" w:hAnsiTheme="minorHAnsi"/>
                      <w:b w:val="0"/>
                      <w:color w:val="auto"/>
                      <w:sz w:val="15"/>
                      <w:szCs w:val="15"/>
                      <w:lang w:val="en-US"/>
                    </w:rPr>
                    <w:t>1.93</w:t>
                  </w:r>
                  <w:r>
                    <w:rPr>
                      <w:rFonts w:asciiTheme="minorHAnsi" w:hAnsiTheme="minorHAnsi"/>
                      <w:b w:val="0"/>
                      <w:color w:val="auto"/>
                      <w:sz w:val="15"/>
                      <w:szCs w:val="15"/>
                      <w:lang w:val="en-US"/>
                    </w:rPr>
                    <w:t>%</w:t>
                  </w:r>
                </w:p>
              </w:tc>
              <w:tc>
                <w:tcPr>
                  <w:tcW w:w="636" w:type="dxa"/>
                  <w:vAlign w:val="center"/>
                </w:tcPr>
                <w:p w14:paraId="7EE1EE3C" w14:textId="77777777" w:rsidR="0010697C" w:rsidRPr="0010697C" w:rsidRDefault="005F706F" w:rsidP="0010697C">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1.56</w:t>
                  </w:r>
                  <w:r w:rsidR="0057706D">
                    <w:rPr>
                      <w:rFonts w:asciiTheme="minorHAnsi" w:hAnsiTheme="minorHAnsi"/>
                      <w:b w:val="0"/>
                      <w:color w:val="auto"/>
                      <w:sz w:val="15"/>
                      <w:szCs w:val="15"/>
                      <w:lang w:val="en-US"/>
                    </w:rPr>
                    <w:t>%</w:t>
                  </w:r>
                </w:p>
              </w:tc>
              <w:tc>
                <w:tcPr>
                  <w:tcW w:w="646" w:type="dxa"/>
                  <w:vAlign w:val="center"/>
                </w:tcPr>
                <w:p w14:paraId="3C7D71FA" w14:textId="77777777" w:rsidR="00E2411D" w:rsidRDefault="00C4123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w:t>
                  </w:r>
                  <w:r w:rsidR="005F706F">
                    <w:rPr>
                      <w:rFonts w:asciiTheme="minorHAnsi" w:hAnsiTheme="minorHAnsi"/>
                      <w:b w:val="0"/>
                      <w:color w:val="auto"/>
                      <w:sz w:val="15"/>
                      <w:szCs w:val="15"/>
                      <w:lang w:val="en-US"/>
                    </w:rPr>
                    <w:t>9</w:t>
                  </w:r>
                  <w:r>
                    <w:rPr>
                      <w:rFonts w:asciiTheme="minorHAnsi" w:hAnsiTheme="minorHAnsi"/>
                      <w:b w:val="0"/>
                      <w:color w:val="auto"/>
                      <w:sz w:val="15"/>
                      <w:szCs w:val="15"/>
                      <w:lang w:val="en-US"/>
                    </w:rPr>
                    <w:t>4</w:t>
                  </w:r>
                  <w:r w:rsidR="0057706D">
                    <w:rPr>
                      <w:rFonts w:asciiTheme="minorHAnsi" w:hAnsiTheme="minorHAnsi"/>
                      <w:b w:val="0"/>
                      <w:color w:val="auto"/>
                      <w:sz w:val="15"/>
                      <w:szCs w:val="15"/>
                      <w:lang w:val="en-US"/>
                    </w:rPr>
                    <w:t>%</w:t>
                  </w:r>
                </w:p>
              </w:tc>
              <w:tc>
                <w:tcPr>
                  <w:tcW w:w="646" w:type="dxa"/>
                  <w:vAlign w:val="center"/>
                </w:tcPr>
                <w:p w14:paraId="338A592A" w14:textId="77777777" w:rsidR="00E2411D" w:rsidRDefault="005F706F"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2.69</w:t>
                  </w:r>
                  <w:r w:rsidR="000E5E5C">
                    <w:rPr>
                      <w:rFonts w:asciiTheme="minorHAnsi" w:hAnsiTheme="minorHAnsi"/>
                      <w:b w:val="0"/>
                      <w:color w:val="auto"/>
                      <w:sz w:val="15"/>
                      <w:szCs w:val="15"/>
                      <w:lang w:val="en-US"/>
                    </w:rPr>
                    <w:t>%</w:t>
                  </w:r>
                </w:p>
              </w:tc>
              <w:tc>
                <w:tcPr>
                  <w:tcW w:w="646" w:type="dxa"/>
                  <w:vAlign w:val="center"/>
                </w:tcPr>
                <w:p w14:paraId="5D8B75D3" w14:textId="77777777" w:rsidR="00E2411D" w:rsidRDefault="00C4123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w:t>
                  </w:r>
                  <w:r w:rsidR="005F706F">
                    <w:rPr>
                      <w:rFonts w:asciiTheme="minorHAnsi" w:hAnsiTheme="minorHAnsi"/>
                      <w:b w:val="0"/>
                      <w:color w:val="auto"/>
                      <w:sz w:val="15"/>
                      <w:szCs w:val="15"/>
                      <w:lang w:val="en-US"/>
                    </w:rPr>
                    <w:t>36</w:t>
                  </w:r>
                  <w:r>
                    <w:rPr>
                      <w:rFonts w:asciiTheme="minorHAnsi" w:hAnsiTheme="minorHAnsi"/>
                      <w:b w:val="0"/>
                      <w:color w:val="auto"/>
                      <w:sz w:val="15"/>
                      <w:szCs w:val="15"/>
                      <w:lang w:val="en-US"/>
                    </w:rPr>
                    <w:t>%</w:t>
                  </w:r>
                </w:p>
              </w:tc>
              <w:tc>
                <w:tcPr>
                  <w:tcW w:w="646" w:type="dxa"/>
                  <w:vAlign w:val="center"/>
                </w:tcPr>
                <w:p w14:paraId="4A340A20" w14:textId="77777777" w:rsidR="00E2411D" w:rsidRDefault="00BA56E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0.22</w:t>
                  </w:r>
                  <w:r w:rsidR="00C76545">
                    <w:rPr>
                      <w:rFonts w:asciiTheme="minorHAnsi" w:hAnsiTheme="minorHAnsi"/>
                      <w:b w:val="0"/>
                      <w:color w:val="auto"/>
                      <w:sz w:val="15"/>
                      <w:szCs w:val="15"/>
                      <w:lang w:val="en-US"/>
                    </w:rPr>
                    <w:t>%</w:t>
                  </w:r>
                </w:p>
              </w:tc>
              <w:tc>
                <w:tcPr>
                  <w:tcW w:w="646" w:type="dxa"/>
                  <w:vAlign w:val="center"/>
                </w:tcPr>
                <w:p w14:paraId="49754BBC" w14:textId="77777777" w:rsidR="00E2411D" w:rsidRDefault="00BE1E47"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-1.65%</w:t>
                  </w:r>
                </w:p>
              </w:tc>
              <w:tc>
                <w:tcPr>
                  <w:tcW w:w="646" w:type="dxa"/>
                  <w:vAlign w:val="center"/>
                </w:tcPr>
                <w:p w14:paraId="33E74A88" w14:textId="77777777" w:rsidR="00E2411D" w:rsidRDefault="00C7654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0.46%</w:t>
                  </w:r>
                </w:p>
              </w:tc>
              <w:tc>
                <w:tcPr>
                  <w:tcW w:w="646" w:type="dxa"/>
                  <w:vAlign w:val="center"/>
                </w:tcPr>
                <w:p w14:paraId="4B231813" w14:textId="77777777" w:rsidR="00E2411D" w:rsidRDefault="002228EA"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w:t>
                  </w:r>
                  <w:r w:rsidR="00C02688">
                    <w:rPr>
                      <w:rFonts w:asciiTheme="minorHAnsi" w:hAnsiTheme="minorHAnsi"/>
                      <w:b w:val="0"/>
                      <w:color w:val="auto"/>
                      <w:sz w:val="15"/>
                      <w:szCs w:val="15"/>
                      <w:lang w:val="en-US"/>
                    </w:rPr>
                    <w:t>1.04</w:t>
                  </w:r>
                  <w:r>
                    <w:rPr>
                      <w:rFonts w:asciiTheme="minorHAnsi" w:hAnsiTheme="minorHAnsi"/>
                      <w:b w:val="0"/>
                      <w:color w:val="auto"/>
                      <w:sz w:val="15"/>
                      <w:szCs w:val="15"/>
                      <w:lang w:val="en-US"/>
                    </w:rPr>
                    <w:t>%</w:t>
                  </w:r>
                </w:p>
              </w:tc>
              <w:tc>
                <w:tcPr>
                  <w:tcW w:w="646" w:type="dxa"/>
                  <w:vAlign w:val="center"/>
                </w:tcPr>
                <w:p w14:paraId="1C5F747C" w14:textId="77777777" w:rsidR="00E2411D" w:rsidRDefault="00C41B3C"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-1.31%</w:t>
                  </w:r>
                </w:p>
              </w:tc>
              <w:tc>
                <w:tcPr>
                  <w:tcW w:w="646" w:type="dxa"/>
                  <w:vAlign w:val="center"/>
                </w:tcPr>
                <w:p w14:paraId="15047BE3" w14:textId="77777777" w:rsidR="00E2411D" w:rsidRDefault="00692D1E"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5.31%</w:t>
                  </w:r>
                </w:p>
              </w:tc>
              <w:tc>
                <w:tcPr>
                  <w:tcW w:w="779" w:type="dxa"/>
                  <w:vAlign w:val="center"/>
                </w:tcPr>
                <w:p w14:paraId="681167D6" w14:textId="77777777" w:rsidR="00E2411D" w:rsidRDefault="00692D1E" w:rsidP="00C41B3C">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2.29</w:t>
                  </w:r>
                  <w:r w:rsidR="000E5E5C">
                    <w:rPr>
                      <w:rFonts w:asciiTheme="minorHAnsi" w:hAnsiTheme="minorHAnsi"/>
                      <w:color w:val="auto"/>
                      <w:sz w:val="15"/>
                      <w:szCs w:val="15"/>
                      <w:lang w:val="en-US"/>
                    </w:rPr>
                    <w:t>%</w:t>
                  </w:r>
                </w:p>
              </w:tc>
            </w:tr>
            <w:tr w:rsidR="007B1EC2" w:rsidRPr="006047A5" w14:paraId="530D77E4" w14:textId="77777777" w:rsidTr="009D716A">
              <w:trPr>
                <w:trHeight w:val="20"/>
              </w:trPr>
              <w:tc>
                <w:tcPr>
                  <w:tcW w:w="530" w:type="dxa"/>
                  <w:shd w:val="clear" w:color="auto" w:fill="D9D9D9" w:themeFill="background1" w:themeFillShade="D9"/>
                  <w:vAlign w:val="center"/>
                </w:tcPr>
                <w:p w14:paraId="129A43CA" w14:textId="77777777" w:rsidR="007B1EC2" w:rsidRDefault="007B1EC2" w:rsidP="00835938">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2017</w:t>
                  </w:r>
                </w:p>
              </w:tc>
              <w:tc>
                <w:tcPr>
                  <w:tcW w:w="762" w:type="dxa"/>
                  <w:vAlign w:val="center"/>
                </w:tcPr>
                <w:p w14:paraId="432748D1" w14:textId="77777777" w:rsidR="00E670C7" w:rsidRPr="00E670C7" w:rsidRDefault="00E670C7" w:rsidP="00E670C7">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-0.31%</w:t>
                  </w:r>
                </w:p>
              </w:tc>
              <w:tc>
                <w:tcPr>
                  <w:tcW w:w="656" w:type="dxa"/>
                  <w:vAlign w:val="center"/>
                </w:tcPr>
                <w:p w14:paraId="552148C0" w14:textId="77777777" w:rsidR="007B1EC2" w:rsidRDefault="002A49CB"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2.65%</w:t>
                  </w:r>
                </w:p>
              </w:tc>
              <w:tc>
                <w:tcPr>
                  <w:tcW w:w="636" w:type="dxa"/>
                  <w:vAlign w:val="center"/>
                </w:tcPr>
                <w:p w14:paraId="78F0CAE2" w14:textId="77777777" w:rsidR="007B1EC2" w:rsidRDefault="00742FB2" w:rsidP="0010697C">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2.99%</w:t>
                  </w:r>
                </w:p>
              </w:tc>
              <w:tc>
                <w:tcPr>
                  <w:tcW w:w="646" w:type="dxa"/>
                  <w:vAlign w:val="center"/>
                </w:tcPr>
                <w:p w14:paraId="48A437D6" w14:textId="77777777" w:rsidR="007B1EC2" w:rsidRDefault="00E56DE0"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0.94%</w:t>
                  </w:r>
                </w:p>
              </w:tc>
              <w:tc>
                <w:tcPr>
                  <w:tcW w:w="646" w:type="dxa"/>
                  <w:vAlign w:val="center"/>
                </w:tcPr>
                <w:p w14:paraId="5EFEF0C5" w14:textId="77777777" w:rsidR="007B1EC2" w:rsidRDefault="00C92810"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1.65%</w:t>
                  </w:r>
                </w:p>
              </w:tc>
              <w:tc>
                <w:tcPr>
                  <w:tcW w:w="646" w:type="dxa"/>
                  <w:vAlign w:val="center"/>
                </w:tcPr>
                <w:p w14:paraId="7567A236" w14:textId="77777777" w:rsidR="007B1EC2" w:rsidRDefault="00716C66" w:rsidP="005F706F">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-2.27%</w:t>
                  </w:r>
                </w:p>
              </w:tc>
              <w:tc>
                <w:tcPr>
                  <w:tcW w:w="646" w:type="dxa"/>
                  <w:vAlign w:val="center"/>
                </w:tcPr>
                <w:p w14:paraId="23C6D9FF" w14:textId="77777777" w:rsidR="007B1EC2" w:rsidRDefault="003D6FE8"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-1.10</w:t>
                  </w:r>
                  <w:r w:rsidR="007E2B72">
                    <w:rPr>
                      <w:rFonts w:asciiTheme="minorHAnsi" w:hAnsiTheme="minorHAnsi"/>
                      <w:b w:val="0"/>
                      <w:color w:val="auto"/>
                      <w:sz w:val="15"/>
                      <w:szCs w:val="15"/>
                      <w:lang w:val="en-US"/>
                    </w:rPr>
                    <w:t>%</w:t>
                  </w:r>
                </w:p>
              </w:tc>
              <w:tc>
                <w:tcPr>
                  <w:tcW w:w="646" w:type="dxa"/>
                  <w:vAlign w:val="center"/>
                </w:tcPr>
                <w:p w14:paraId="1EA5C02A" w14:textId="77777777" w:rsidR="007B1EC2" w:rsidRDefault="007E2B7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0.06%</w:t>
                  </w:r>
                </w:p>
              </w:tc>
              <w:tc>
                <w:tcPr>
                  <w:tcW w:w="646" w:type="dxa"/>
                  <w:vAlign w:val="center"/>
                </w:tcPr>
                <w:p w14:paraId="57C9CB65" w14:textId="77777777" w:rsidR="007B1EC2" w:rsidRDefault="003F7B25"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1.39%</w:t>
                  </w:r>
                </w:p>
              </w:tc>
              <w:tc>
                <w:tcPr>
                  <w:tcW w:w="646" w:type="dxa"/>
                  <w:vAlign w:val="center"/>
                </w:tcPr>
                <w:p w14:paraId="738CCE1C" w14:textId="77777777" w:rsidR="007B1EC2" w:rsidRDefault="00E9716C"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2.23%</w:t>
                  </w:r>
                </w:p>
              </w:tc>
              <w:tc>
                <w:tcPr>
                  <w:tcW w:w="646" w:type="dxa"/>
                  <w:vAlign w:val="center"/>
                </w:tcPr>
                <w:p w14:paraId="7BCC0201" w14:textId="77777777" w:rsidR="007B1EC2" w:rsidRDefault="00EB1713"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0.23%</w:t>
                  </w:r>
                </w:p>
              </w:tc>
              <w:tc>
                <w:tcPr>
                  <w:tcW w:w="646" w:type="dxa"/>
                  <w:vAlign w:val="center"/>
                </w:tcPr>
                <w:p w14:paraId="5C75C7B0" w14:textId="77777777" w:rsidR="007B1EC2" w:rsidRDefault="000F6DC2" w:rsidP="00835938">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-0.56%</w:t>
                  </w:r>
                </w:p>
              </w:tc>
              <w:tc>
                <w:tcPr>
                  <w:tcW w:w="779" w:type="dxa"/>
                  <w:vAlign w:val="center"/>
                </w:tcPr>
                <w:p w14:paraId="2D7A975C" w14:textId="77777777" w:rsidR="007B1EC2" w:rsidRDefault="000F6DC2" w:rsidP="00EB1713">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8.03%</w:t>
                  </w:r>
                </w:p>
              </w:tc>
            </w:tr>
            <w:tr w:rsidR="00E212ED" w:rsidRPr="006047A5" w14:paraId="7F69F8BF" w14:textId="77777777" w:rsidTr="009D716A">
              <w:trPr>
                <w:trHeight w:val="20"/>
              </w:trPr>
              <w:tc>
                <w:tcPr>
                  <w:tcW w:w="530" w:type="dxa"/>
                  <w:shd w:val="clear" w:color="auto" w:fill="D9D9D9" w:themeFill="background1" w:themeFillShade="D9"/>
                  <w:vAlign w:val="center"/>
                </w:tcPr>
                <w:p w14:paraId="643F6A6C" w14:textId="1ABAD712" w:rsidR="00E212ED" w:rsidRDefault="00E212ED"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2018</w:t>
                  </w:r>
                </w:p>
              </w:tc>
              <w:tc>
                <w:tcPr>
                  <w:tcW w:w="762" w:type="dxa"/>
                  <w:vAlign w:val="center"/>
                </w:tcPr>
                <w:p w14:paraId="6FE2A54C" w14:textId="0CD98E6E"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0.53%</w:t>
                  </w:r>
                </w:p>
              </w:tc>
              <w:tc>
                <w:tcPr>
                  <w:tcW w:w="656" w:type="dxa"/>
                  <w:vAlign w:val="center"/>
                </w:tcPr>
                <w:p w14:paraId="64EC3C4F" w14:textId="1139D0FB"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-2.94%</w:t>
                  </w:r>
                </w:p>
              </w:tc>
              <w:tc>
                <w:tcPr>
                  <w:tcW w:w="636" w:type="dxa"/>
                  <w:vAlign w:val="center"/>
                </w:tcPr>
                <w:p w14:paraId="55D28B86" w14:textId="7212D771"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-1.78%</w:t>
                  </w:r>
                </w:p>
              </w:tc>
              <w:tc>
                <w:tcPr>
                  <w:tcW w:w="646" w:type="dxa"/>
                  <w:vAlign w:val="center"/>
                </w:tcPr>
                <w:p w14:paraId="093F71F1" w14:textId="57DFF4F9"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3.40%</w:t>
                  </w:r>
                </w:p>
              </w:tc>
              <w:tc>
                <w:tcPr>
                  <w:tcW w:w="646" w:type="dxa"/>
                  <w:vAlign w:val="center"/>
                </w:tcPr>
                <w:p w14:paraId="6202F15B" w14:textId="45C5D617"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-0.54%</w:t>
                  </w:r>
                </w:p>
              </w:tc>
              <w:tc>
                <w:tcPr>
                  <w:tcW w:w="646" w:type="dxa"/>
                  <w:vAlign w:val="center"/>
                </w:tcPr>
                <w:p w14:paraId="25F222DA" w14:textId="51B2FDD5"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-0.22%</w:t>
                  </w:r>
                </w:p>
              </w:tc>
              <w:tc>
                <w:tcPr>
                  <w:tcW w:w="646" w:type="dxa"/>
                  <w:vAlign w:val="center"/>
                </w:tcPr>
                <w:p w14:paraId="552FC329" w14:textId="5AC0A72C"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4.12%</w:t>
                  </w:r>
                </w:p>
              </w:tc>
              <w:tc>
                <w:tcPr>
                  <w:tcW w:w="646" w:type="dxa"/>
                  <w:vAlign w:val="center"/>
                </w:tcPr>
                <w:p w14:paraId="245EDE0D" w14:textId="2BDA382C"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0.10%</w:t>
                  </w:r>
                </w:p>
              </w:tc>
              <w:tc>
                <w:tcPr>
                  <w:tcW w:w="646" w:type="dxa"/>
                  <w:vAlign w:val="center"/>
                </w:tcPr>
                <w:p w14:paraId="6679709D" w14:textId="6DA9CD1E"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0.30%</w:t>
                  </w:r>
                </w:p>
              </w:tc>
              <w:tc>
                <w:tcPr>
                  <w:tcW w:w="646" w:type="dxa"/>
                  <w:vAlign w:val="center"/>
                </w:tcPr>
                <w:p w14:paraId="5BE21358" w14:textId="262EEFA3"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-6.18%</w:t>
                  </w:r>
                </w:p>
              </w:tc>
              <w:tc>
                <w:tcPr>
                  <w:tcW w:w="646" w:type="dxa"/>
                  <w:vAlign w:val="center"/>
                </w:tcPr>
                <w:p w14:paraId="0B0D0EC8" w14:textId="71ABFDE1"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-0.31%</w:t>
                  </w:r>
                </w:p>
              </w:tc>
              <w:tc>
                <w:tcPr>
                  <w:tcW w:w="646" w:type="dxa"/>
                  <w:vAlign w:val="center"/>
                </w:tcPr>
                <w:p w14:paraId="0EFCD325" w14:textId="6E378D62"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-8.12%</w:t>
                  </w:r>
                </w:p>
              </w:tc>
              <w:tc>
                <w:tcPr>
                  <w:tcW w:w="779" w:type="dxa"/>
                  <w:vAlign w:val="center"/>
                </w:tcPr>
                <w:p w14:paraId="143CE6AB" w14:textId="6437D120" w:rsidR="00E212ED" w:rsidRDefault="00E212ED"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-12.91%</w:t>
                  </w:r>
                </w:p>
              </w:tc>
            </w:tr>
            <w:tr w:rsidR="00E212ED" w:rsidRPr="006047A5" w14:paraId="64B62A01" w14:textId="77777777" w:rsidTr="009D716A">
              <w:trPr>
                <w:trHeight w:val="20"/>
              </w:trPr>
              <w:tc>
                <w:tcPr>
                  <w:tcW w:w="530" w:type="dxa"/>
                  <w:shd w:val="clear" w:color="auto" w:fill="D9D9D9" w:themeFill="background1" w:themeFillShade="D9"/>
                  <w:vAlign w:val="center"/>
                </w:tcPr>
                <w:p w14:paraId="46BD4D01" w14:textId="65649709" w:rsidR="00E212ED" w:rsidRDefault="00E212ED"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2019</w:t>
                  </w:r>
                </w:p>
              </w:tc>
              <w:tc>
                <w:tcPr>
                  <w:tcW w:w="762" w:type="dxa"/>
                  <w:vAlign w:val="center"/>
                </w:tcPr>
                <w:p w14:paraId="673FFDC5" w14:textId="668004A6" w:rsidR="00E212ED" w:rsidRDefault="00E212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6.88%</w:t>
                  </w:r>
                </w:p>
              </w:tc>
              <w:tc>
                <w:tcPr>
                  <w:tcW w:w="656" w:type="dxa"/>
                  <w:vAlign w:val="center"/>
                </w:tcPr>
                <w:p w14:paraId="1CF769AD" w14:textId="25F4BFD4" w:rsidR="00E212ED" w:rsidRDefault="00984FE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5.52%</w:t>
                  </w:r>
                </w:p>
              </w:tc>
              <w:tc>
                <w:tcPr>
                  <w:tcW w:w="636" w:type="dxa"/>
                  <w:vAlign w:val="center"/>
                </w:tcPr>
                <w:p w14:paraId="5A9DD608" w14:textId="488C51EC" w:rsidR="00E212ED" w:rsidRDefault="0081589A"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2.43%</w:t>
                  </w:r>
                </w:p>
              </w:tc>
              <w:tc>
                <w:tcPr>
                  <w:tcW w:w="646" w:type="dxa"/>
                  <w:vAlign w:val="center"/>
                </w:tcPr>
                <w:p w14:paraId="7428D5FB" w14:textId="4EC9E130" w:rsidR="00E212ED" w:rsidRDefault="00737321"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2.52%</w:t>
                  </w:r>
                </w:p>
              </w:tc>
              <w:tc>
                <w:tcPr>
                  <w:tcW w:w="646" w:type="dxa"/>
                  <w:vAlign w:val="center"/>
                </w:tcPr>
                <w:p w14:paraId="5DA5FFA8" w14:textId="2172123B" w:rsidR="00E212ED" w:rsidRDefault="008D7018"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-3.48%</w:t>
                  </w:r>
                </w:p>
              </w:tc>
              <w:tc>
                <w:tcPr>
                  <w:tcW w:w="646" w:type="dxa"/>
                  <w:vAlign w:val="center"/>
                </w:tcPr>
                <w:p w14:paraId="444DCB70" w14:textId="5B5C8F6C" w:rsidR="00E212ED" w:rsidRDefault="003D10EC"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2.06%</w:t>
                  </w:r>
                </w:p>
              </w:tc>
              <w:tc>
                <w:tcPr>
                  <w:tcW w:w="646" w:type="dxa"/>
                  <w:vAlign w:val="center"/>
                </w:tcPr>
                <w:p w14:paraId="778267BE" w14:textId="50E89868" w:rsidR="00E212ED" w:rsidRDefault="0009238E"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0.51%</w:t>
                  </w:r>
                </w:p>
              </w:tc>
              <w:tc>
                <w:tcPr>
                  <w:tcW w:w="646" w:type="dxa"/>
                  <w:vAlign w:val="center"/>
                </w:tcPr>
                <w:p w14:paraId="60D2DEFB" w14:textId="3F5A5981" w:rsidR="00E212ED" w:rsidRDefault="002E0E9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0.41%</w:t>
                  </w:r>
                </w:p>
              </w:tc>
              <w:tc>
                <w:tcPr>
                  <w:tcW w:w="646" w:type="dxa"/>
                  <w:vAlign w:val="center"/>
                </w:tcPr>
                <w:p w14:paraId="14C11FDF" w14:textId="4C059D4E" w:rsidR="00E212ED" w:rsidRDefault="00D84417"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1.15%</w:t>
                  </w:r>
                </w:p>
              </w:tc>
              <w:tc>
                <w:tcPr>
                  <w:tcW w:w="646" w:type="dxa"/>
                  <w:vAlign w:val="center"/>
                </w:tcPr>
                <w:p w14:paraId="4FF07BF0" w14:textId="48121EAD" w:rsidR="00E212ED" w:rsidRDefault="002C71A6"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-0.27%</w:t>
                  </w:r>
                </w:p>
              </w:tc>
              <w:tc>
                <w:tcPr>
                  <w:tcW w:w="646" w:type="dxa"/>
                  <w:vAlign w:val="center"/>
                </w:tcPr>
                <w:p w14:paraId="57CF7C6E" w14:textId="53C7CFAD" w:rsidR="00E212ED" w:rsidRDefault="001111DD"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0.67%</w:t>
                  </w:r>
                </w:p>
              </w:tc>
              <w:tc>
                <w:tcPr>
                  <w:tcW w:w="646" w:type="dxa"/>
                  <w:vAlign w:val="center"/>
                </w:tcPr>
                <w:p w14:paraId="4DE5646C" w14:textId="35712287" w:rsidR="00E212ED" w:rsidRDefault="00F9602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0.22%</w:t>
                  </w:r>
                </w:p>
              </w:tc>
              <w:tc>
                <w:tcPr>
                  <w:tcW w:w="779" w:type="dxa"/>
                  <w:vAlign w:val="center"/>
                </w:tcPr>
                <w:p w14:paraId="744A629D" w14:textId="4CADEE34" w:rsidR="00E212ED" w:rsidRDefault="00F9602F" w:rsidP="003D10EC">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19.79%</w:t>
                  </w:r>
                </w:p>
              </w:tc>
            </w:tr>
            <w:tr w:rsidR="00F6409B" w:rsidRPr="006047A5" w14:paraId="5B661850" w14:textId="77777777" w:rsidTr="009D716A">
              <w:trPr>
                <w:trHeight w:val="20"/>
              </w:trPr>
              <w:tc>
                <w:tcPr>
                  <w:tcW w:w="530" w:type="dxa"/>
                  <w:shd w:val="clear" w:color="auto" w:fill="D9D9D9" w:themeFill="background1" w:themeFillShade="D9"/>
                  <w:vAlign w:val="center"/>
                </w:tcPr>
                <w:p w14:paraId="5A4504A8" w14:textId="76BFA6BA" w:rsidR="00F6409B" w:rsidRDefault="00F6409B" w:rsidP="00E212ED">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2020</w:t>
                  </w:r>
                </w:p>
              </w:tc>
              <w:tc>
                <w:tcPr>
                  <w:tcW w:w="762" w:type="dxa"/>
                  <w:vAlign w:val="center"/>
                </w:tcPr>
                <w:p w14:paraId="24D0873C" w14:textId="316C1C77" w:rsidR="00F6409B" w:rsidRDefault="00F6409B"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-0.33%</w:t>
                  </w:r>
                </w:p>
              </w:tc>
              <w:tc>
                <w:tcPr>
                  <w:tcW w:w="656" w:type="dxa"/>
                  <w:vAlign w:val="center"/>
                </w:tcPr>
                <w:p w14:paraId="6EE0D958" w14:textId="2324F92E" w:rsidR="00F6409B" w:rsidRDefault="00516D8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-8.12</w:t>
                  </w:r>
                  <w:r w:rsidR="000A2E41">
                    <w:rPr>
                      <w:rFonts w:asciiTheme="minorHAnsi" w:hAnsiTheme="minorHAnsi"/>
                      <w:b w:val="0"/>
                      <w:color w:val="auto"/>
                      <w:sz w:val="15"/>
                      <w:szCs w:val="15"/>
                      <w:lang w:val="en-US"/>
                    </w:rPr>
                    <w:t>%</w:t>
                  </w:r>
                </w:p>
              </w:tc>
              <w:tc>
                <w:tcPr>
                  <w:tcW w:w="636" w:type="dxa"/>
                  <w:vAlign w:val="center"/>
                </w:tcPr>
                <w:p w14:paraId="42FEE8EC" w14:textId="1CBB3B26" w:rsidR="00F6409B" w:rsidRDefault="007D3D8F"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-10.0%</w:t>
                  </w:r>
                </w:p>
              </w:tc>
              <w:tc>
                <w:tcPr>
                  <w:tcW w:w="646" w:type="dxa"/>
                  <w:vAlign w:val="center"/>
                </w:tcPr>
                <w:p w14:paraId="483A8B90" w14:textId="06ED51E3" w:rsidR="00F6409B" w:rsidRDefault="00CF57AC" w:rsidP="00E212ED">
                  <w:pPr>
                    <w:pStyle w:val="Heading1"/>
                    <w:spacing w:before="0"/>
                    <w:jc w:val="center"/>
                    <w:outlineLvl w:val="0"/>
                    <w:rPr>
                      <w:rFonts w:asciiTheme="minorHAnsi" w:hAnsiTheme="minorHAnsi"/>
                      <w:b w:val="0"/>
                      <w:color w:val="auto"/>
                      <w:sz w:val="15"/>
                      <w:szCs w:val="15"/>
                      <w:lang w:val="en-US"/>
                    </w:rPr>
                  </w:pPr>
                  <w:r>
                    <w:rPr>
                      <w:rFonts w:asciiTheme="minorHAnsi" w:hAnsiTheme="minorHAnsi"/>
                      <w:b w:val="0"/>
                      <w:color w:val="auto"/>
                      <w:sz w:val="15"/>
                      <w:szCs w:val="15"/>
                      <w:lang w:val="en-US"/>
                    </w:rPr>
                    <w:t>4.75%</w:t>
                  </w:r>
                </w:p>
              </w:tc>
              <w:tc>
                <w:tcPr>
                  <w:tcW w:w="646" w:type="dxa"/>
                  <w:vAlign w:val="center"/>
                </w:tcPr>
                <w:p w14:paraId="0908E763"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35A16CCD"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0CD7B1EB"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49D135C0"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7A07D51F"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9880651"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267153D"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646" w:type="dxa"/>
                  <w:vAlign w:val="center"/>
                </w:tcPr>
                <w:p w14:paraId="17A68766" w14:textId="77777777" w:rsidR="00F6409B" w:rsidRDefault="00F6409B" w:rsidP="00E212ED">
                  <w:pPr>
                    <w:pStyle w:val="Heading1"/>
                    <w:spacing w:before="0"/>
                    <w:jc w:val="center"/>
                    <w:outlineLvl w:val="0"/>
                    <w:rPr>
                      <w:rFonts w:asciiTheme="minorHAnsi" w:hAnsiTheme="minorHAnsi"/>
                      <w:b w:val="0"/>
                      <w:color w:val="auto"/>
                      <w:sz w:val="15"/>
                      <w:szCs w:val="15"/>
                      <w:lang w:val="en-US"/>
                    </w:rPr>
                  </w:pPr>
                </w:p>
              </w:tc>
              <w:tc>
                <w:tcPr>
                  <w:tcW w:w="779" w:type="dxa"/>
                  <w:vAlign w:val="center"/>
                </w:tcPr>
                <w:p w14:paraId="6AA51D68" w14:textId="2326BE02" w:rsidR="00F6409B" w:rsidRDefault="00516D8F" w:rsidP="007D3D8F">
                  <w:pPr>
                    <w:pStyle w:val="Heading1"/>
                    <w:spacing w:before="0"/>
                    <w:jc w:val="center"/>
                    <w:outlineLvl w:val="0"/>
                    <w:rPr>
                      <w:rFonts w:asciiTheme="minorHAnsi" w:hAnsiTheme="minorHAnsi"/>
                      <w:color w:val="auto"/>
                      <w:sz w:val="15"/>
                      <w:szCs w:val="15"/>
                      <w:lang w:val="en-US"/>
                    </w:rPr>
                  </w:pPr>
                  <w:r>
                    <w:rPr>
                      <w:rFonts w:asciiTheme="minorHAnsi" w:hAnsiTheme="minorHAnsi"/>
                      <w:color w:val="auto"/>
                      <w:sz w:val="15"/>
                      <w:szCs w:val="15"/>
                      <w:lang w:val="en-US"/>
                    </w:rPr>
                    <w:t>-</w:t>
                  </w:r>
                  <w:r w:rsidR="00CF57AC">
                    <w:rPr>
                      <w:rFonts w:asciiTheme="minorHAnsi" w:hAnsiTheme="minorHAnsi"/>
                      <w:color w:val="auto"/>
                      <w:sz w:val="15"/>
                      <w:szCs w:val="15"/>
                      <w:lang w:val="en-US"/>
                    </w:rPr>
                    <w:t>13.73</w:t>
                  </w:r>
                  <w:r>
                    <w:rPr>
                      <w:rFonts w:asciiTheme="minorHAnsi" w:hAnsiTheme="minorHAnsi"/>
                      <w:color w:val="auto"/>
                      <w:sz w:val="15"/>
                      <w:szCs w:val="15"/>
                      <w:lang w:val="en-US"/>
                    </w:rPr>
                    <w:t>%</w:t>
                  </w:r>
                </w:p>
              </w:tc>
            </w:tr>
          </w:tbl>
          <w:p w14:paraId="3B7643B4" w14:textId="77777777" w:rsidR="002C3625" w:rsidRPr="00835938" w:rsidRDefault="002C3625" w:rsidP="007C107D">
            <w:pPr>
              <w:pStyle w:val="Heading1"/>
              <w:spacing w:before="0"/>
              <w:outlineLvl w:val="0"/>
              <w:rPr>
                <w:rFonts w:asciiTheme="minorHAnsi" w:hAnsiTheme="minorHAnsi"/>
                <w:color w:val="C00000"/>
                <w:sz w:val="24"/>
                <w:lang w:val="en-US"/>
              </w:rPr>
            </w:pPr>
          </w:p>
          <w:p w14:paraId="5ADB3184" w14:textId="667AFF2D" w:rsidR="009C3DA2" w:rsidRPr="00677025" w:rsidRDefault="002C3625" w:rsidP="00677025">
            <w:pPr>
              <w:pStyle w:val="Heading1"/>
              <w:spacing w:before="0" w:after="240"/>
              <w:outlineLvl w:val="0"/>
              <w:rPr>
                <w:rFonts w:asciiTheme="minorHAnsi" w:hAnsiTheme="minorHAnsi"/>
                <w:color w:val="C00000"/>
                <w:sz w:val="24"/>
                <w:lang w:val="en-US"/>
              </w:rPr>
            </w:pPr>
            <w:r>
              <w:rPr>
                <w:rFonts w:asciiTheme="minorHAnsi" w:hAnsiTheme="minorHAnsi"/>
                <w:color w:val="C00000"/>
                <w:sz w:val="24"/>
                <w:lang w:val="en-US"/>
              </w:rPr>
              <w:t>Figures &amp;</w:t>
            </w:r>
            <w:r w:rsidRPr="00835938">
              <w:rPr>
                <w:rFonts w:asciiTheme="minorHAnsi" w:hAnsiTheme="minorHAnsi"/>
                <w:color w:val="C00000"/>
                <w:sz w:val="24"/>
                <w:lang w:val="en-US"/>
              </w:rPr>
              <w:t xml:space="preserve"> Ratios</w:t>
            </w:r>
            <w:r w:rsidR="00890448" w:rsidRPr="00E93563">
              <w:rPr>
                <w:noProof/>
                <w:lang w:val="en-GB" w:eastAsia="de-CH"/>
              </w:rPr>
              <w:t xml:space="preserve"> </w:t>
            </w:r>
          </w:p>
        </w:tc>
      </w:tr>
    </w:tbl>
    <w:p w14:paraId="05941A89" w14:textId="507B35CE" w:rsidR="00D91D47" w:rsidRDefault="002823DD" w:rsidP="00F3188B">
      <w:pPr>
        <w:rPr>
          <w:i/>
          <w:sz w:val="14"/>
          <w:szCs w:val="14"/>
          <w:lang w:val="en-GB"/>
        </w:rPr>
      </w:pPr>
      <w:r w:rsidRPr="002823DD">
        <w:rPr>
          <w:noProof/>
          <w:lang w:val="en-US" w:eastAsia="en-US"/>
        </w:rPr>
        <w:drawing>
          <wp:inline distT="0" distB="0" distL="0" distR="0" wp14:anchorId="74320DF6" wp14:editId="6AAF569D">
            <wp:extent cx="5760720" cy="150182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501822"/>
                    </a:xfrm>
                    <a:prstGeom prst="rect">
                      <a:avLst/>
                    </a:prstGeom>
                    <a:noFill/>
                    <a:ln>
                      <a:noFill/>
                    </a:ln>
                  </pic:spPr>
                </pic:pic>
              </a:graphicData>
            </a:graphic>
          </wp:inline>
        </w:drawing>
      </w:r>
    </w:p>
    <w:tbl>
      <w:tblPr>
        <w:tblStyle w:val="TableGrid"/>
        <w:tblW w:w="9391" w:type="dxa"/>
        <w:tblLook w:val="04A0" w:firstRow="1" w:lastRow="0" w:firstColumn="1" w:lastColumn="0" w:noHBand="0" w:noVBand="1"/>
      </w:tblPr>
      <w:tblGrid>
        <w:gridCol w:w="103"/>
        <w:gridCol w:w="4644"/>
        <w:gridCol w:w="4644"/>
      </w:tblGrid>
      <w:tr w:rsidR="00D91D47" w14:paraId="529C3B16" w14:textId="77777777" w:rsidTr="00795319">
        <w:trPr>
          <w:trHeight w:val="3314"/>
        </w:trPr>
        <w:tc>
          <w:tcPr>
            <w:tcW w:w="9391" w:type="dxa"/>
            <w:gridSpan w:val="3"/>
            <w:tcBorders>
              <w:top w:val="single" w:sz="4" w:space="0" w:color="C00000"/>
              <w:left w:val="single" w:sz="4" w:space="0" w:color="C00000"/>
              <w:bottom w:val="single" w:sz="4" w:space="0" w:color="C00000"/>
              <w:right w:val="single" w:sz="4" w:space="0" w:color="C00000"/>
            </w:tcBorders>
          </w:tcPr>
          <w:p w14:paraId="255ABE1C" w14:textId="4AECE0DF" w:rsidR="00F9602F" w:rsidRPr="00F203C2" w:rsidRDefault="00E76BDF" w:rsidP="004A690E">
            <w:pPr>
              <w:ind w:left="708" w:hanging="708"/>
              <w:rPr>
                <w:noProof/>
                <w:lang w:val="en-US" w:eastAsia="de-CH"/>
              </w:rPr>
            </w:pPr>
            <w:r w:rsidRPr="00E76BDF">
              <w:rPr>
                <w:noProof/>
                <w:lang w:val="en-US" w:eastAsia="en-US"/>
              </w:rPr>
              <w:drawing>
                <wp:inline distT="0" distB="0" distL="0" distR="0" wp14:anchorId="2581B66F" wp14:editId="4BC42008">
                  <wp:extent cx="2969281" cy="2099144"/>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173" cy="2120983"/>
                          </a:xfrm>
                          <a:prstGeom prst="rect">
                            <a:avLst/>
                          </a:prstGeom>
                          <a:noFill/>
                          <a:ln>
                            <a:noFill/>
                          </a:ln>
                        </pic:spPr>
                      </pic:pic>
                    </a:graphicData>
                  </a:graphic>
                </wp:inline>
              </w:drawing>
            </w:r>
            <w:r w:rsidR="00BC0613">
              <w:rPr>
                <w:noProof/>
                <w:lang w:val="en-US" w:eastAsia="en-US"/>
              </w:rPr>
              <w:drawing>
                <wp:inline distT="0" distB="0" distL="0" distR="0" wp14:anchorId="53775722" wp14:editId="0BF93853">
                  <wp:extent cx="2520563" cy="1915407"/>
                  <wp:effectExtent l="0" t="0" r="0" b="8890"/>
                  <wp:docPr id="3" name="Picture 3" descr="cid:image001.png@01D62519.E83A3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519.E83A3FF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71308" cy="1953969"/>
                          </a:xfrm>
                          <a:prstGeom prst="rect">
                            <a:avLst/>
                          </a:prstGeom>
                          <a:noFill/>
                          <a:ln>
                            <a:noFill/>
                          </a:ln>
                        </pic:spPr>
                      </pic:pic>
                    </a:graphicData>
                  </a:graphic>
                </wp:inline>
              </w:drawing>
            </w:r>
          </w:p>
          <w:p w14:paraId="00109F28" w14:textId="32784AD4" w:rsidR="00631771" w:rsidRDefault="00E637DB" w:rsidP="00E637DB">
            <w:pPr>
              <w:ind w:left="708" w:hanging="708"/>
              <w:rPr>
                <w:lang w:val="en-US"/>
              </w:rPr>
            </w:pPr>
            <w:r>
              <w:rPr>
                <w:lang w:val="en-US"/>
              </w:rPr>
              <w:t xml:space="preserve">       </w:t>
            </w:r>
            <w:r w:rsidR="0082234E">
              <w:rPr>
                <w:lang w:val="en-US"/>
              </w:rPr>
              <w:t xml:space="preserve">                                                                            </w:t>
            </w:r>
            <w:r>
              <w:rPr>
                <w:lang w:val="en-US"/>
              </w:rPr>
              <w:t xml:space="preserve">                               </w:t>
            </w:r>
          </w:p>
          <w:p w14:paraId="044B2A23" w14:textId="2FC3A7FF" w:rsidR="0072408A" w:rsidRDefault="0072408A" w:rsidP="0072408A">
            <w:pPr>
              <w:ind w:left="708" w:hanging="708"/>
              <w:rPr>
                <w:lang w:val="en-US"/>
              </w:rPr>
            </w:pPr>
          </w:p>
        </w:tc>
      </w:tr>
      <w:tr w:rsidR="00331F6A" w:rsidRPr="006047A5" w14:paraId="6D933367" w14:textId="77777777" w:rsidTr="00722D8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PrEx>
        <w:trPr>
          <w:gridBefore w:val="1"/>
          <w:wBefore w:w="103" w:type="dxa"/>
          <w:trHeight w:val="1657"/>
        </w:trPr>
        <w:tc>
          <w:tcPr>
            <w:tcW w:w="4644" w:type="dxa"/>
            <w:tcBorders>
              <w:top w:val="nil"/>
              <w:left w:val="nil"/>
              <w:bottom w:val="nil"/>
              <w:right w:val="nil"/>
            </w:tcBorders>
            <w:shd w:val="clear" w:color="auto" w:fill="F2F2F2" w:themeFill="background1" w:themeFillShade="F2"/>
          </w:tcPr>
          <w:p w14:paraId="080495AA" w14:textId="77777777" w:rsidR="004B4612" w:rsidRDefault="004B4612" w:rsidP="00C013B6">
            <w:pPr>
              <w:rPr>
                <w:sz w:val="10"/>
                <w:lang w:val="en-US"/>
              </w:rPr>
            </w:pPr>
          </w:p>
          <w:p w14:paraId="0F50DE93" w14:textId="77777777" w:rsidR="006A5577" w:rsidRDefault="006A5577" w:rsidP="00C013B6">
            <w:pPr>
              <w:rPr>
                <w:b/>
                <w:color w:val="C00000"/>
                <w:sz w:val="24"/>
                <w:lang w:val="en-US"/>
              </w:rPr>
            </w:pPr>
            <w:r w:rsidRPr="00835938">
              <w:rPr>
                <w:b/>
                <w:color w:val="C00000"/>
                <w:sz w:val="24"/>
                <w:lang w:val="en-US"/>
              </w:rPr>
              <w:t>Certificate Terms</w:t>
            </w:r>
          </w:p>
          <w:p w14:paraId="2C777675" w14:textId="77777777" w:rsidR="00493A15" w:rsidRPr="00835938" w:rsidRDefault="00493A15" w:rsidP="00C013B6">
            <w:pPr>
              <w:rPr>
                <w:b/>
                <w:sz w:val="20"/>
                <w:lang w:val="en-US"/>
              </w:rPr>
            </w:pPr>
          </w:p>
          <w:p w14:paraId="7E084429" w14:textId="77777777" w:rsidR="00C54F6F" w:rsidRPr="00493A15" w:rsidRDefault="00C54F6F" w:rsidP="00C54F6F">
            <w:pPr>
              <w:rPr>
                <w:sz w:val="18"/>
                <w:szCs w:val="18"/>
                <w:lang w:val="en-US"/>
              </w:rPr>
            </w:pPr>
            <w:r w:rsidRPr="00493A15">
              <w:rPr>
                <w:sz w:val="18"/>
                <w:szCs w:val="18"/>
                <w:lang w:val="en-US"/>
              </w:rPr>
              <w:t xml:space="preserve">Issuer: UBS AG </w:t>
            </w:r>
          </w:p>
          <w:p w14:paraId="1E2BDB0C" w14:textId="77777777" w:rsidR="00C54F6F" w:rsidRPr="00493A15" w:rsidRDefault="00C54F6F" w:rsidP="00C54F6F">
            <w:pPr>
              <w:rPr>
                <w:sz w:val="18"/>
                <w:szCs w:val="18"/>
                <w:lang w:val="en-US"/>
              </w:rPr>
            </w:pPr>
            <w:r w:rsidRPr="00493A15">
              <w:rPr>
                <w:sz w:val="18"/>
                <w:szCs w:val="18"/>
                <w:lang w:val="en-US"/>
              </w:rPr>
              <w:t>Advisor: Aspermont Capital AG</w:t>
            </w:r>
          </w:p>
          <w:p w14:paraId="137F2278" w14:textId="77777777" w:rsidR="00C54F6F" w:rsidRPr="00493A15" w:rsidRDefault="00C54F6F" w:rsidP="00C54F6F">
            <w:pPr>
              <w:rPr>
                <w:sz w:val="18"/>
                <w:szCs w:val="18"/>
                <w:lang w:val="en-US"/>
              </w:rPr>
            </w:pPr>
            <w:r w:rsidRPr="00493A15">
              <w:rPr>
                <w:sz w:val="18"/>
                <w:szCs w:val="18"/>
                <w:lang w:val="en-US"/>
              </w:rPr>
              <w:t>ISIN: CH0215884732</w:t>
            </w:r>
          </w:p>
          <w:p w14:paraId="0F5A1789" w14:textId="77777777" w:rsidR="00C54F6F" w:rsidRPr="00493A15" w:rsidRDefault="00C54F6F" w:rsidP="00C54F6F">
            <w:pPr>
              <w:rPr>
                <w:sz w:val="18"/>
                <w:szCs w:val="18"/>
                <w:lang w:val="en-US"/>
              </w:rPr>
            </w:pPr>
            <w:r w:rsidRPr="00493A15">
              <w:rPr>
                <w:sz w:val="18"/>
                <w:szCs w:val="18"/>
                <w:lang w:val="en-US"/>
              </w:rPr>
              <w:t>Profile: Tracker-Certificate (SVSP-Code: 1300)</w:t>
            </w:r>
          </w:p>
          <w:p w14:paraId="0E459041" w14:textId="77777777" w:rsidR="006939B5" w:rsidRPr="00835938" w:rsidRDefault="00C54F6F" w:rsidP="00C54F6F">
            <w:pPr>
              <w:rPr>
                <w:sz w:val="20"/>
                <w:lang w:val="en-US"/>
              </w:rPr>
            </w:pPr>
            <w:r w:rsidRPr="00493A15">
              <w:rPr>
                <w:sz w:val="18"/>
                <w:szCs w:val="18"/>
                <w:lang w:val="en-US"/>
              </w:rPr>
              <w:t>Launch date: June 2013</w:t>
            </w:r>
          </w:p>
        </w:tc>
        <w:tc>
          <w:tcPr>
            <w:tcW w:w="4644" w:type="dxa"/>
            <w:tcBorders>
              <w:top w:val="nil"/>
              <w:left w:val="nil"/>
              <w:bottom w:val="nil"/>
              <w:right w:val="nil"/>
            </w:tcBorders>
            <w:shd w:val="clear" w:color="auto" w:fill="F2F2F2" w:themeFill="background1" w:themeFillShade="F2"/>
          </w:tcPr>
          <w:p w14:paraId="1DBBCAE8" w14:textId="77777777" w:rsidR="008E3503" w:rsidRPr="00835938" w:rsidRDefault="008E3503" w:rsidP="00C013B6">
            <w:pPr>
              <w:rPr>
                <w:sz w:val="10"/>
                <w:lang w:val="en-US"/>
              </w:rPr>
            </w:pPr>
          </w:p>
          <w:p w14:paraId="4863F016" w14:textId="77777777" w:rsidR="007C107D" w:rsidRDefault="007C107D" w:rsidP="00C013B6">
            <w:pPr>
              <w:rPr>
                <w:sz w:val="20"/>
                <w:lang w:val="en-US"/>
              </w:rPr>
            </w:pPr>
          </w:p>
          <w:p w14:paraId="3CFE529C" w14:textId="77777777" w:rsidR="004E393C" w:rsidRDefault="004E393C" w:rsidP="00C54F6F">
            <w:pPr>
              <w:rPr>
                <w:sz w:val="18"/>
                <w:szCs w:val="18"/>
                <w:lang w:val="en-US"/>
              </w:rPr>
            </w:pPr>
          </w:p>
          <w:p w14:paraId="03B4039E" w14:textId="77777777" w:rsidR="00C54F6F" w:rsidRPr="00493A15" w:rsidRDefault="00C54F6F" w:rsidP="00C54F6F">
            <w:pPr>
              <w:rPr>
                <w:sz w:val="18"/>
                <w:szCs w:val="18"/>
                <w:lang w:val="en-US"/>
              </w:rPr>
            </w:pPr>
            <w:r w:rsidRPr="00493A15">
              <w:rPr>
                <w:sz w:val="18"/>
                <w:szCs w:val="18"/>
                <w:lang w:val="en-US"/>
              </w:rPr>
              <w:t>Currency: EUR</w:t>
            </w:r>
          </w:p>
          <w:p w14:paraId="2BFB68D1" w14:textId="77777777" w:rsidR="00C54F6F" w:rsidRPr="00493A15" w:rsidRDefault="00C54F6F" w:rsidP="00C54F6F">
            <w:pPr>
              <w:rPr>
                <w:sz w:val="18"/>
                <w:szCs w:val="18"/>
                <w:lang w:val="en-US"/>
              </w:rPr>
            </w:pPr>
            <w:r w:rsidRPr="00493A15">
              <w:rPr>
                <w:sz w:val="18"/>
                <w:szCs w:val="18"/>
                <w:lang w:val="en-US"/>
              </w:rPr>
              <w:t>Denomination: EUR 100 per Unit</w:t>
            </w:r>
          </w:p>
          <w:p w14:paraId="66F0D80A" w14:textId="38C9C83B" w:rsidR="00C54F6F" w:rsidRPr="00493A15" w:rsidRDefault="00C54F6F" w:rsidP="00C54F6F">
            <w:pPr>
              <w:rPr>
                <w:sz w:val="18"/>
                <w:szCs w:val="18"/>
                <w:lang w:val="en-US"/>
              </w:rPr>
            </w:pPr>
            <w:r w:rsidRPr="00493A15">
              <w:rPr>
                <w:sz w:val="18"/>
                <w:szCs w:val="18"/>
                <w:lang w:val="en-US"/>
              </w:rPr>
              <w:t>Maturity: June 12, 2018 (</w:t>
            </w:r>
            <w:r w:rsidR="00C91DE6">
              <w:rPr>
                <w:sz w:val="18"/>
                <w:szCs w:val="18"/>
                <w:lang w:val="en-US"/>
              </w:rPr>
              <w:t>e</w:t>
            </w:r>
            <w:r w:rsidRPr="00493A15">
              <w:rPr>
                <w:sz w:val="18"/>
                <w:szCs w:val="18"/>
                <w:lang w:val="en-US"/>
              </w:rPr>
              <w:t>xtend</w:t>
            </w:r>
            <w:r w:rsidR="00C91DE6">
              <w:rPr>
                <w:sz w:val="18"/>
                <w:szCs w:val="18"/>
                <w:lang w:val="en-US"/>
              </w:rPr>
              <w:t>ed to June 13, 2023</w:t>
            </w:r>
            <w:r w:rsidRPr="00493A15">
              <w:rPr>
                <w:sz w:val="18"/>
                <w:szCs w:val="18"/>
                <w:lang w:val="en-US"/>
              </w:rPr>
              <w:t>)</w:t>
            </w:r>
          </w:p>
          <w:p w14:paraId="409CE7BA" w14:textId="77777777" w:rsidR="00C54F6F" w:rsidRPr="00493A15" w:rsidRDefault="00C54F6F" w:rsidP="00C54F6F">
            <w:pPr>
              <w:rPr>
                <w:color w:val="00B050"/>
                <w:sz w:val="18"/>
                <w:szCs w:val="18"/>
                <w:lang w:val="en-US"/>
              </w:rPr>
            </w:pPr>
            <w:r w:rsidRPr="00493A15">
              <w:rPr>
                <w:sz w:val="18"/>
                <w:szCs w:val="18"/>
                <w:lang w:val="en-US"/>
              </w:rPr>
              <w:t>Listing: SIX Swiss Exchange (SIX Structured)</w:t>
            </w:r>
          </w:p>
          <w:p w14:paraId="5E729A38" w14:textId="77777777" w:rsidR="00331F6A" w:rsidRPr="00835938" w:rsidRDefault="00331F6A" w:rsidP="00C013B6">
            <w:pPr>
              <w:rPr>
                <w:sz w:val="20"/>
                <w:lang w:val="en-US"/>
              </w:rPr>
            </w:pPr>
          </w:p>
        </w:tc>
      </w:tr>
      <w:tr w:rsidR="00331F6A" w:rsidRPr="006047A5" w14:paraId="70433D1B" w14:textId="77777777" w:rsidTr="00722D8D">
        <w:tblPrEx>
          <w:shd w:val="clear" w:color="auto" w:fill="F2F2F2" w:themeFill="background1" w:themeFillShade="F2"/>
        </w:tblPrEx>
        <w:trPr>
          <w:gridBefore w:val="1"/>
          <w:wBefore w:w="103" w:type="dxa"/>
          <w:trHeight w:val="151"/>
        </w:trPr>
        <w:tc>
          <w:tcPr>
            <w:tcW w:w="4644" w:type="dxa"/>
            <w:tcBorders>
              <w:top w:val="nil"/>
              <w:left w:val="nil"/>
              <w:bottom w:val="nil"/>
              <w:right w:val="nil"/>
            </w:tcBorders>
            <w:shd w:val="clear" w:color="auto" w:fill="F2F2F2" w:themeFill="background1" w:themeFillShade="F2"/>
          </w:tcPr>
          <w:p w14:paraId="4327E72F" w14:textId="77777777" w:rsidR="00331F6A" w:rsidRPr="00835938" w:rsidRDefault="00331F6A" w:rsidP="00C013B6">
            <w:pPr>
              <w:rPr>
                <w:sz w:val="10"/>
                <w:lang w:val="en-US"/>
              </w:rPr>
            </w:pPr>
          </w:p>
        </w:tc>
        <w:tc>
          <w:tcPr>
            <w:tcW w:w="4644" w:type="dxa"/>
            <w:tcBorders>
              <w:top w:val="nil"/>
              <w:left w:val="nil"/>
              <w:bottom w:val="nil"/>
              <w:right w:val="nil"/>
            </w:tcBorders>
            <w:shd w:val="clear" w:color="auto" w:fill="F2F2F2" w:themeFill="background1" w:themeFillShade="F2"/>
          </w:tcPr>
          <w:p w14:paraId="6CDCDE26" w14:textId="77777777" w:rsidR="00331F6A" w:rsidRPr="00835938" w:rsidRDefault="00331F6A" w:rsidP="00C013B6">
            <w:pPr>
              <w:rPr>
                <w:sz w:val="10"/>
                <w:lang w:val="en-US"/>
              </w:rPr>
            </w:pPr>
          </w:p>
        </w:tc>
      </w:tr>
    </w:tbl>
    <w:p w14:paraId="5E8C24D3" w14:textId="77777777" w:rsidR="00151D41" w:rsidRPr="00835938" w:rsidRDefault="00151D41" w:rsidP="004A690E">
      <w:pPr>
        <w:rPr>
          <w:lang w:val="en-US"/>
        </w:rPr>
      </w:pPr>
    </w:p>
    <w:sectPr w:rsidR="00151D41" w:rsidRPr="00835938" w:rsidSect="00821A8C">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D154B" w14:textId="77777777" w:rsidR="0076329A" w:rsidRDefault="0076329A" w:rsidP="00437B29">
      <w:pPr>
        <w:spacing w:after="0" w:line="240" w:lineRule="auto"/>
      </w:pPr>
      <w:r>
        <w:separator/>
      </w:r>
    </w:p>
  </w:endnote>
  <w:endnote w:type="continuationSeparator" w:id="0">
    <w:p w14:paraId="7044010B" w14:textId="77777777" w:rsidR="0076329A" w:rsidRDefault="0076329A" w:rsidP="0043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1926" w14:textId="77777777"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sz w:val="16"/>
        <w:lang w:val="en-US"/>
      </w:rPr>
    </w:pPr>
    <w:r w:rsidRPr="001B23B6">
      <w:rPr>
        <w:b/>
        <w:sz w:val="16"/>
        <w:u w:val="single"/>
        <w:lang w:val="en-US"/>
      </w:rPr>
      <w:t>Legal Disclaimer:</w:t>
    </w:r>
    <w:r w:rsidRPr="001B23B6">
      <w:rPr>
        <w:sz w:val="16"/>
        <w:lang w:val="en-US"/>
      </w:rPr>
      <w:t xml:space="preserve"> </w:t>
    </w:r>
  </w:p>
  <w:p w14:paraId="12F31A7D" w14:textId="77777777"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sz w:val="14"/>
        <w:lang w:val="en-US"/>
      </w:rPr>
    </w:pPr>
    <w:r w:rsidRPr="00760D1A">
      <w:rPr>
        <w:sz w:val="14"/>
        <w:lang w:val="en-US"/>
      </w:rPr>
      <w:t>The information provided is exclusively for informational purposes only. All of the information contained has been carefully selected and obtained from sources that Aspermont Capital AG fundamentally believes to be reliable. No guarantee is assumed as to the accuracy or completeness of the information. Opinions constitute our judgment as at the time of publication and are subject to change. The information contained herein is not intended as an offer or a solicitation to buy or sell securities or any other investment or banking product, nor does it constitute a personal recommendation. The value of investments, and the income from them, can go down as well as up. Past performances should not be taken as a guide to future performances.</w:t>
    </w:r>
  </w:p>
  <w:p w14:paraId="134BEE00" w14:textId="77777777"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sz w:val="14"/>
        <w:lang w:val="en-US"/>
      </w:rPr>
    </w:pPr>
  </w:p>
  <w:p w14:paraId="62F63F81" w14:textId="69D278B4" w:rsidR="00561258" w:rsidRDefault="00561258"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b/>
        <w:sz w:val="16"/>
        <w:lang w:val="en-US"/>
      </w:rPr>
    </w:pPr>
    <w:r w:rsidRPr="001B23B6">
      <w:rPr>
        <w:b/>
        <w:sz w:val="16"/>
        <w:lang w:val="en-US"/>
      </w:rPr>
      <w:t xml:space="preserve">Aspermont Capital AG, </w:t>
    </w:r>
    <w:proofErr w:type="spellStart"/>
    <w:r w:rsidRPr="001B23B6">
      <w:rPr>
        <w:b/>
        <w:sz w:val="16"/>
        <w:lang w:val="en-US"/>
      </w:rPr>
      <w:t>Loewenstrasse</w:t>
    </w:r>
    <w:proofErr w:type="spellEnd"/>
    <w:r w:rsidRPr="001B23B6">
      <w:rPr>
        <w:b/>
        <w:sz w:val="16"/>
        <w:lang w:val="en-US"/>
      </w:rPr>
      <w:t xml:space="preserve"> 66, CH-8001 Zurich - +41-43 888 66 44, </w:t>
    </w:r>
    <w:hyperlink r:id="rId1" w:history="1">
      <w:r w:rsidRPr="001B23B6">
        <w:rPr>
          <w:rStyle w:val="Hyperlink"/>
          <w:color w:val="auto"/>
          <w:sz w:val="16"/>
          <w:lang w:val="en-US"/>
        </w:rPr>
        <w:t>info@ascap.ch</w:t>
      </w:r>
    </w:hyperlink>
    <w:r w:rsidRPr="001B23B6">
      <w:rPr>
        <w:b/>
        <w:sz w:val="16"/>
        <w:lang w:val="en-US"/>
      </w:rPr>
      <w:t>, www.aspermontcapital.ch</w:t>
    </w:r>
  </w:p>
  <w:p w14:paraId="1BEF18F9" w14:textId="77777777" w:rsidR="00CA295B" w:rsidRPr="001B23B6" w:rsidRDefault="00CA295B" w:rsidP="001B1F78">
    <w:pPr>
      <w:pStyle w:val="Foote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tabs>
        <w:tab w:val="clear" w:pos="9072"/>
      </w:tabs>
      <w:ind w:left="142"/>
      <w:rPr>
        <w:b/>
        <w:sz w:val="16"/>
        <w:lang w:val="en-US"/>
      </w:rPr>
    </w:pPr>
    <w:r w:rsidRPr="00CA295B">
      <w:rPr>
        <w:b/>
        <w:sz w:val="16"/>
        <w:lang w:val="en-US"/>
      </w:rPr>
      <w:t>Copyright © 2018 Aspermont Capital AG.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AD906" w14:textId="77777777" w:rsidR="0076329A" w:rsidRDefault="0076329A" w:rsidP="00437B29">
      <w:pPr>
        <w:spacing w:after="0" w:line="240" w:lineRule="auto"/>
      </w:pPr>
      <w:r>
        <w:separator/>
      </w:r>
    </w:p>
  </w:footnote>
  <w:footnote w:type="continuationSeparator" w:id="0">
    <w:p w14:paraId="01607DEF" w14:textId="77777777" w:rsidR="0076329A" w:rsidRDefault="0076329A" w:rsidP="00437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500F9" w14:textId="77777777" w:rsidR="00561258" w:rsidRDefault="00561258">
    <w:pPr>
      <w:pStyle w:val="Header"/>
    </w:pPr>
    <w:r>
      <w:tab/>
    </w:r>
    <w:r>
      <w:tab/>
    </w:r>
    <w:r w:rsidRPr="00437B29">
      <w:rPr>
        <w:noProof/>
        <w:lang w:val="en-US" w:eastAsia="en-US"/>
      </w:rPr>
      <w:drawing>
        <wp:inline distT="0" distB="0" distL="0" distR="0" wp14:anchorId="6EF397C8" wp14:editId="1212C972">
          <wp:extent cx="1314450" cy="209550"/>
          <wp:effectExtent l="19050" t="0" r="0" b="0"/>
          <wp:docPr id="2"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300A9"/>
    <w:multiLevelType w:val="hybridMultilevel"/>
    <w:tmpl w:val="6006204A"/>
    <w:lvl w:ilvl="0" w:tplc="A4CE1344">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29"/>
    <w:rsid w:val="000003BA"/>
    <w:rsid w:val="00003414"/>
    <w:rsid w:val="00005A89"/>
    <w:rsid w:val="000110D3"/>
    <w:rsid w:val="000175C0"/>
    <w:rsid w:val="00021A5E"/>
    <w:rsid w:val="00022CE4"/>
    <w:rsid w:val="00023CC6"/>
    <w:rsid w:val="00026BA5"/>
    <w:rsid w:val="000310F2"/>
    <w:rsid w:val="0003177F"/>
    <w:rsid w:val="000339E1"/>
    <w:rsid w:val="0003655F"/>
    <w:rsid w:val="00036EAC"/>
    <w:rsid w:val="00041E6D"/>
    <w:rsid w:val="00043FCA"/>
    <w:rsid w:val="00052CEB"/>
    <w:rsid w:val="000544C4"/>
    <w:rsid w:val="0005485D"/>
    <w:rsid w:val="00054942"/>
    <w:rsid w:val="00054A7E"/>
    <w:rsid w:val="000559CF"/>
    <w:rsid w:val="00056138"/>
    <w:rsid w:val="00056247"/>
    <w:rsid w:val="000570D3"/>
    <w:rsid w:val="00067F41"/>
    <w:rsid w:val="00071FE2"/>
    <w:rsid w:val="00072A85"/>
    <w:rsid w:val="000817D6"/>
    <w:rsid w:val="00081B50"/>
    <w:rsid w:val="00082988"/>
    <w:rsid w:val="00084DB9"/>
    <w:rsid w:val="00085F85"/>
    <w:rsid w:val="00085FC8"/>
    <w:rsid w:val="000864EB"/>
    <w:rsid w:val="00090090"/>
    <w:rsid w:val="00091112"/>
    <w:rsid w:val="0009238E"/>
    <w:rsid w:val="0009796D"/>
    <w:rsid w:val="000A0072"/>
    <w:rsid w:val="000A0D96"/>
    <w:rsid w:val="000A2E41"/>
    <w:rsid w:val="000A314A"/>
    <w:rsid w:val="000A49EE"/>
    <w:rsid w:val="000A6343"/>
    <w:rsid w:val="000A696E"/>
    <w:rsid w:val="000B01CC"/>
    <w:rsid w:val="000B15E1"/>
    <w:rsid w:val="000B45D8"/>
    <w:rsid w:val="000B74C9"/>
    <w:rsid w:val="000C07BF"/>
    <w:rsid w:val="000C089E"/>
    <w:rsid w:val="000C54FA"/>
    <w:rsid w:val="000D0CCB"/>
    <w:rsid w:val="000D26E3"/>
    <w:rsid w:val="000D27EE"/>
    <w:rsid w:val="000D53B3"/>
    <w:rsid w:val="000D5D12"/>
    <w:rsid w:val="000E13ED"/>
    <w:rsid w:val="000E15F2"/>
    <w:rsid w:val="000E4FF8"/>
    <w:rsid w:val="000E5E5C"/>
    <w:rsid w:val="000E79E3"/>
    <w:rsid w:val="000E79F1"/>
    <w:rsid w:val="000F1AD3"/>
    <w:rsid w:val="000F3989"/>
    <w:rsid w:val="000F4506"/>
    <w:rsid w:val="000F6952"/>
    <w:rsid w:val="000F6DC2"/>
    <w:rsid w:val="000F74E0"/>
    <w:rsid w:val="00101F7E"/>
    <w:rsid w:val="00104767"/>
    <w:rsid w:val="0010697C"/>
    <w:rsid w:val="001101FD"/>
    <w:rsid w:val="001111DD"/>
    <w:rsid w:val="00111BFD"/>
    <w:rsid w:val="00112F1A"/>
    <w:rsid w:val="00113949"/>
    <w:rsid w:val="001153A8"/>
    <w:rsid w:val="00117EED"/>
    <w:rsid w:val="00120243"/>
    <w:rsid w:val="0012204D"/>
    <w:rsid w:val="00124220"/>
    <w:rsid w:val="00125168"/>
    <w:rsid w:val="001259C7"/>
    <w:rsid w:val="001312FC"/>
    <w:rsid w:val="001325D1"/>
    <w:rsid w:val="00132966"/>
    <w:rsid w:val="00132E83"/>
    <w:rsid w:val="00133253"/>
    <w:rsid w:val="0013678C"/>
    <w:rsid w:val="001378D9"/>
    <w:rsid w:val="001408DB"/>
    <w:rsid w:val="0014106D"/>
    <w:rsid w:val="00143229"/>
    <w:rsid w:val="001433A2"/>
    <w:rsid w:val="00144B15"/>
    <w:rsid w:val="00146D04"/>
    <w:rsid w:val="00146DE4"/>
    <w:rsid w:val="00151D41"/>
    <w:rsid w:val="0016020F"/>
    <w:rsid w:val="00160E70"/>
    <w:rsid w:val="0016190A"/>
    <w:rsid w:val="00161D74"/>
    <w:rsid w:val="00162964"/>
    <w:rsid w:val="00162CF9"/>
    <w:rsid w:val="00167E95"/>
    <w:rsid w:val="00172F05"/>
    <w:rsid w:val="001746B1"/>
    <w:rsid w:val="0017611F"/>
    <w:rsid w:val="00176719"/>
    <w:rsid w:val="00181B45"/>
    <w:rsid w:val="00181BB8"/>
    <w:rsid w:val="00183C78"/>
    <w:rsid w:val="00184ED7"/>
    <w:rsid w:val="0019458E"/>
    <w:rsid w:val="0019628C"/>
    <w:rsid w:val="00196731"/>
    <w:rsid w:val="00197A6B"/>
    <w:rsid w:val="001A2F38"/>
    <w:rsid w:val="001A5CEC"/>
    <w:rsid w:val="001B080E"/>
    <w:rsid w:val="001B1F78"/>
    <w:rsid w:val="001B5896"/>
    <w:rsid w:val="001B7F17"/>
    <w:rsid w:val="001C61C7"/>
    <w:rsid w:val="001D56C7"/>
    <w:rsid w:val="001D6EC3"/>
    <w:rsid w:val="001D75C1"/>
    <w:rsid w:val="001E1611"/>
    <w:rsid w:val="001E19C1"/>
    <w:rsid w:val="001E356D"/>
    <w:rsid w:val="001E7B4D"/>
    <w:rsid w:val="001E7B84"/>
    <w:rsid w:val="001F0D5E"/>
    <w:rsid w:val="001F1E05"/>
    <w:rsid w:val="001F30DB"/>
    <w:rsid w:val="001F4CD2"/>
    <w:rsid w:val="001F5E2F"/>
    <w:rsid w:val="00201FEF"/>
    <w:rsid w:val="002100F1"/>
    <w:rsid w:val="00211067"/>
    <w:rsid w:val="0021229F"/>
    <w:rsid w:val="002133FA"/>
    <w:rsid w:val="002138C5"/>
    <w:rsid w:val="00213C82"/>
    <w:rsid w:val="00214B79"/>
    <w:rsid w:val="00215F22"/>
    <w:rsid w:val="002227A7"/>
    <w:rsid w:val="002228EA"/>
    <w:rsid w:val="00225D08"/>
    <w:rsid w:val="00226365"/>
    <w:rsid w:val="00226980"/>
    <w:rsid w:val="002320BA"/>
    <w:rsid w:val="00235747"/>
    <w:rsid w:val="00236AD2"/>
    <w:rsid w:val="002447DE"/>
    <w:rsid w:val="00245402"/>
    <w:rsid w:val="002469B2"/>
    <w:rsid w:val="00250ACD"/>
    <w:rsid w:val="00252EED"/>
    <w:rsid w:val="00255AC1"/>
    <w:rsid w:val="002603DE"/>
    <w:rsid w:val="00262C06"/>
    <w:rsid w:val="00262ED0"/>
    <w:rsid w:val="00266995"/>
    <w:rsid w:val="00266B55"/>
    <w:rsid w:val="002708BE"/>
    <w:rsid w:val="00273CDA"/>
    <w:rsid w:val="00277476"/>
    <w:rsid w:val="002801DA"/>
    <w:rsid w:val="0028185F"/>
    <w:rsid w:val="00281A40"/>
    <w:rsid w:val="002823DD"/>
    <w:rsid w:val="002845B0"/>
    <w:rsid w:val="002848C6"/>
    <w:rsid w:val="002849CC"/>
    <w:rsid w:val="00286007"/>
    <w:rsid w:val="002917E5"/>
    <w:rsid w:val="00291810"/>
    <w:rsid w:val="002923E3"/>
    <w:rsid w:val="00292ED9"/>
    <w:rsid w:val="00293006"/>
    <w:rsid w:val="00293D5F"/>
    <w:rsid w:val="0029449F"/>
    <w:rsid w:val="002978D8"/>
    <w:rsid w:val="00297C3A"/>
    <w:rsid w:val="002A2476"/>
    <w:rsid w:val="002A3271"/>
    <w:rsid w:val="002A4609"/>
    <w:rsid w:val="002A4819"/>
    <w:rsid w:val="002A49CB"/>
    <w:rsid w:val="002A4C48"/>
    <w:rsid w:val="002A5802"/>
    <w:rsid w:val="002A5C29"/>
    <w:rsid w:val="002A5F94"/>
    <w:rsid w:val="002A765D"/>
    <w:rsid w:val="002B3D40"/>
    <w:rsid w:val="002B4917"/>
    <w:rsid w:val="002B53B6"/>
    <w:rsid w:val="002B5811"/>
    <w:rsid w:val="002B652B"/>
    <w:rsid w:val="002B7979"/>
    <w:rsid w:val="002C3625"/>
    <w:rsid w:val="002C3A22"/>
    <w:rsid w:val="002C6793"/>
    <w:rsid w:val="002C71A6"/>
    <w:rsid w:val="002C742B"/>
    <w:rsid w:val="002D144F"/>
    <w:rsid w:val="002D206D"/>
    <w:rsid w:val="002D36D2"/>
    <w:rsid w:val="002D4262"/>
    <w:rsid w:val="002D5907"/>
    <w:rsid w:val="002D7AF8"/>
    <w:rsid w:val="002E0E9F"/>
    <w:rsid w:val="002E12F3"/>
    <w:rsid w:val="002E2642"/>
    <w:rsid w:val="002E4BDE"/>
    <w:rsid w:val="002E4C72"/>
    <w:rsid w:val="002E621F"/>
    <w:rsid w:val="002E7715"/>
    <w:rsid w:val="00301FC7"/>
    <w:rsid w:val="003035BF"/>
    <w:rsid w:val="00304897"/>
    <w:rsid w:val="00304FED"/>
    <w:rsid w:val="00306CD2"/>
    <w:rsid w:val="00307431"/>
    <w:rsid w:val="00307EFF"/>
    <w:rsid w:val="0031142F"/>
    <w:rsid w:val="0031346C"/>
    <w:rsid w:val="00313BCE"/>
    <w:rsid w:val="00315CBA"/>
    <w:rsid w:val="00317C7E"/>
    <w:rsid w:val="00324EC5"/>
    <w:rsid w:val="0032698D"/>
    <w:rsid w:val="0033089B"/>
    <w:rsid w:val="00331F6A"/>
    <w:rsid w:val="00332B22"/>
    <w:rsid w:val="00333702"/>
    <w:rsid w:val="00335F32"/>
    <w:rsid w:val="00336A7D"/>
    <w:rsid w:val="00340F24"/>
    <w:rsid w:val="00345A48"/>
    <w:rsid w:val="003470A0"/>
    <w:rsid w:val="00347234"/>
    <w:rsid w:val="00352C4E"/>
    <w:rsid w:val="00352D30"/>
    <w:rsid w:val="00353998"/>
    <w:rsid w:val="003541F2"/>
    <w:rsid w:val="00355673"/>
    <w:rsid w:val="00356CAC"/>
    <w:rsid w:val="00363578"/>
    <w:rsid w:val="00365951"/>
    <w:rsid w:val="0036768F"/>
    <w:rsid w:val="00370FF6"/>
    <w:rsid w:val="00374DC0"/>
    <w:rsid w:val="00375B77"/>
    <w:rsid w:val="00376740"/>
    <w:rsid w:val="00377819"/>
    <w:rsid w:val="00377901"/>
    <w:rsid w:val="00383532"/>
    <w:rsid w:val="003850A2"/>
    <w:rsid w:val="00386537"/>
    <w:rsid w:val="003901E8"/>
    <w:rsid w:val="003919F9"/>
    <w:rsid w:val="003938BA"/>
    <w:rsid w:val="00397440"/>
    <w:rsid w:val="00397F98"/>
    <w:rsid w:val="003A1025"/>
    <w:rsid w:val="003A3B7D"/>
    <w:rsid w:val="003A65DB"/>
    <w:rsid w:val="003A78B4"/>
    <w:rsid w:val="003A7B2D"/>
    <w:rsid w:val="003B0C36"/>
    <w:rsid w:val="003B2E97"/>
    <w:rsid w:val="003B4B61"/>
    <w:rsid w:val="003B6D95"/>
    <w:rsid w:val="003C1E8D"/>
    <w:rsid w:val="003C30AD"/>
    <w:rsid w:val="003C54C3"/>
    <w:rsid w:val="003C57EE"/>
    <w:rsid w:val="003C5C3F"/>
    <w:rsid w:val="003C7A74"/>
    <w:rsid w:val="003D10EC"/>
    <w:rsid w:val="003D2625"/>
    <w:rsid w:val="003D2984"/>
    <w:rsid w:val="003D2CD9"/>
    <w:rsid w:val="003D4215"/>
    <w:rsid w:val="003D6FE8"/>
    <w:rsid w:val="003D7182"/>
    <w:rsid w:val="003D78C9"/>
    <w:rsid w:val="003E2A2C"/>
    <w:rsid w:val="003E44BA"/>
    <w:rsid w:val="003E4828"/>
    <w:rsid w:val="003F1208"/>
    <w:rsid w:val="003F1323"/>
    <w:rsid w:val="003F3F18"/>
    <w:rsid w:val="003F69F3"/>
    <w:rsid w:val="003F7B25"/>
    <w:rsid w:val="004012E2"/>
    <w:rsid w:val="00405E2A"/>
    <w:rsid w:val="00413E28"/>
    <w:rsid w:val="00417CFA"/>
    <w:rsid w:val="00424A57"/>
    <w:rsid w:val="00427595"/>
    <w:rsid w:val="004326D0"/>
    <w:rsid w:val="00433AAA"/>
    <w:rsid w:val="004343C4"/>
    <w:rsid w:val="00436F5C"/>
    <w:rsid w:val="00437B29"/>
    <w:rsid w:val="00440CF4"/>
    <w:rsid w:val="00442EC6"/>
    <w:rsid w:val="0044503A"/>
    <w:rsid w:val="00445F16"/>
    <w:rsid w:val="004462E6"/>
    <w:rsid w:val="00446D91"/>
    <w:rsid w:val="004477AA"/>
    <w:rsid w:val="00452EC0"/>
    <w:rsid w:val="0045432B"/>
    <w:rsid w:val="00454506"/>
    <w:rsid w:val="00454D7F"/>
    <w:rsid w:val="00456E0D"/>
    <w:rsid w:val="004571AC"/>
    <w:rsid w:val="004632B1"/>
    <w:rsid w:val="004635FC"/>
    <w:rsid w:val="00467786"/>
    <w:rsid w:val="00467C99"/>
    <w:rsid w:val="00467E20"/>
    <w:rsid w:val="00474A33"/>
    <w:rsid w:val="00474A6B"/>
    <w:rsid w:val="00475879"/>
    <w:rsid w:val="00476F5D"/>
    <w:rsid w:val="004812F0"/>
    <w:rsid w:val="00482B67"/>
    <w:rsid w:val="004843E4"/>
    <w:rsid w:val="0048446C"/>
    <w:rsid w:val="00484FB6"/>
    <w:rsid w:val="004920E9"/>
    <w:rsid w:val="00493A15"/>
    <w:rsid w:val="00493B9C"/>
    <w:rsid w:val="0049794A"/>
    <w:rsid w:val="004A04DB"/>
    <w:rsid w:val="004A09DD"/>
    <w:rsid w:val="004A151D"/>
    <w:rsid w:val="004A4C6C"/>
    <w:rsid w:val="004A50EB"/>
    <w:rsid w:val="004A690E"/>
    <w:rsid w:val="004A69F9"/>
    <w:rsid w:val="004B2AB4"/>
    <w:rsid w:val="004B4593"/>
    <w:rsid w:val="004B4612"/>
    <w:rsid w:val="004B5BA2"/>
    <w:rsid w:val="004C5E5D"/>
    <w:rsid w:val="004C60C7"/>
    <w:rsid w:val="004C729A"/>
    <w:rsid w:val="004D15B9"/>
    <w:rsid w:val="004D26F5"/>
    <w:rsid w:val="004D6860"/>
    <w:rsid w:val="004D6F4C"/>
    <w:rsid w:val="004D796C"/>
    <w:rsid w:val="004E1830"/>
    <w:rsid w:val="004E1BE7"/>
    <w:rsid w:val="004E393C"/>
    <w:rsid w:val="004E4849"/>
    <w:rsid w:val="004E5944"/>
    <w:rsid w:val="004E5A01"/>
    <w:rsid w:val="004F109A"/>
    <w:rsid w:val="004F1D17"/>
    <w:rsid w:val="004F2481"/>
    <w:rsid w:val="004F295E"/>
    <w:rsid w:val="004F345A"/>
    <w:rsid w:val="004F4F9C"/>
    <w:rsid w:val="004F560D"/>
    <w:rsid w:val="00500279"/>
    <w:rsid w:val="00502088"/>
    <w:rsid w:val="00502201"/>
    <w:rsid w:val="00502F07"/>
    <w:rsid w:val="00503295"/>
    <w:rsid w:val="00503B1C"/>
    <w:rsid w:val="00511D76"/>
    <w:rsid w:val="00511D97"/>
    <w:rsid w:val="0051682E"/>
    <w:rsid w:val="00516D8F"/>
    <w:rsid w:val="00520054"/>
    <w:rsid w:val="00521BCC"/>
    <w:rsid w:val="0052763D"/>
    <w:rsid w:val="00536461"/>
    <w:rsid w:val="0054053B"/>
    <w:rsid w:val="00543556"/>
    <w:rsid w:val="005443EF"/>
    <w:rsid w:val="00544695"/>
    <w:rsid w:val="00551EC4"/>
    <w:rsid w:val="00553A97"/>
    <w:rsid w:val="00561258"/>
    <w:rsid w:val="00562704"/>
    <w:rsid w:val="00562C52"/>
    <w:rsid w:val="00567DE8"/>
    <w:rsid w:val="005740C9"/>
    <w:rsid w:val="00575C48"/>
    <w:rsid w:val="00576423"/>
    <w:rsid w:val="0057706D"/>
    <w:rsid w:val="005773B5"/>
    <w:rsid w:val="00581FF6"/>
    <w:rsid w:val="0059025C"/>
    <w:rsid w:val="00590677"/>
    <w:rsid w:val="0059528E"/>
    <w:rsid w:val="005952F9"/>
    <w:rsid w:val="005A176E"/>
    <w:rsid w:val="005A46E2"/>
    <w:rsid w:val="005B303D"/>
    <w:rsid w:val="005B4338"/>
    <w:rsid w:val="005B63DE"/>
    <w:rsid w:val="005B6841"/>
    <w:rsid w:val="005C4181"/>
    <w:rsid w:val="005C4884"/>
    <w:rsid w:val="005C4C19"/>
    <w:rsid w:val="005C6253"/>
    <w:rsid w:val="005D0AA0"/>
    <w:rsid w:val="005D43A7"/>
    <w:rsid w:val="005F0DBD"/>
    <w:rsid w:val="005F578B"/>
    <w:rsid w:val="005F706F"/>
    <w:rsid w:val="005F7ED0"/>
    <w:rsid w:val="00600468"/>
    <w:rsid w:val="00601B14"/>
    <w:rsid w:val="006023FE"/>
    <w:rsid w:val="00602A23"/>
    <w:rsid w:val="006047A5"/>
    <w:rsid w:val="00605948"/>
    <w:rsid w:val="00610F08"/>
    <w:rsid w:val="00613F03"/>
    <w:rsid w:val="0061603D"/>
    <w:rsid w:val="006175DE"/>
    <w:rsid w:val="00621010"/>
    <w:rsid w:val="006239BC"/>
    <w:rsid w:val="00624037"/>
    <w:rsid w:val="00631755"/>
    <w:rsid w:val="00631771"/>
    <w:rsid w:val="00631ACF"/>
    <w:rsid w:val="00631FDB"/>
    <w:rsid w:val="00632383"/>
    <w:rsid w:val="00633867"/>
    <w:rsid w:val="00637908"/>
    <w:rsid w:val="0064413F"/>
    <w:rsid w:val="00645484"/>
    <w:rsid w:val="0064748B"/>
    <w:rsid w:val="0065201F"/>
    <w:rsid w:val="00654E7C"/>
    <w:rsid w:val="00656457"/>
    <w:rsid w:val="00657364"/>
    <w:rsid w:val="00657485"/>
    <w:rsid w:val="00657A7A"/>
    <w:rsid w:val="00660EA4"/>
    <w:rsid w:val="00663188"/>
    <w:rsid w:val="00673ECC"/>
    <w:rsid w:val="00674A12"/>
    <w:rsid w:val="00675D0C"/>
    <w:rsid w:val="006760FD"/>
    <w:rsid w:val="00676AA1"/>
    <w:rsid w:val="00676AA2"/>
    <w:rsid w:val="00677025"/>
    <w:rsid w:val="00677114"/>
    <w:rsid w:val="0068103D"/>
    <w:rsid w:val="006822E9"/>
    <w:rsid w:val="006824FD"/>
    <w:rsid w:val="00682F30"/>
    <w:rsid w:val="00686189"/>
    <w:rsid w:val="00686BD9"/>
    <w:rsid w:val="00686EE3"/>
    <w:rsid w:val="00687D91"/>
    <w:rsid w:val="00690423"/>
    <w:rsid w:val="00690AC7"/>
    <w:rsid w:val="0069128E"/>
    <w:rsid w:val="00692D1E"/>
    <w:rsid w:val="006939B5"/>
    <w:rsid w:val="00695DA1"/>
    <w:rsid w:val="006A5577"/>
    <w:rsid w:val="006A7064"/>
    <w:rsid w:val="006A784E"/>
    <w:rsid w:val="006A7DB2"/>
    <w:rsid w:val="006A7F61"/>
    <w:rsid w:val="006B2F5C"/>
    <w:rsid w:val="006B50E4"/>
    <w:rsid w:val="006B5E49"/>
    <w:rsid w:val="006B7446"/>
    <w:rsid w:val="006C4803"/>
    <w:rsid w:val="006C63F3"/>
    <w:rsid w:val="006C7E11"/>
    <w:rsid w:val="006D35E1"/>
    <w:rsid w:val="006D5086"/>
    <w:rsid w:val="006D5AA6"/>
    <w:rsid w:val="006E0864"/>
    <w:rsid w:val="006E08A5"/>
    <w:rsid w:val="006E2A5B"/>
    <w:rsid w:val="006E2FA5"/>
    <w:rsid w:val="006E63DD"/>
    <w:rsid w:val="006E7E35"/>
    <w:rsid w:val="006F4D37"/>
    <w:rsid w:val="006F5989"/>
    <w:rsid w:val="006F5C7B"/>
    <w:rsid w:val="007058AA"/>
    <w:rsid w:val="007064BF"/>
    <w:rsid w:val="007112C1"/>
    <w:rsid w:val="00713352"/>
    <w:rsid w:val="0071448C"/>
    <w:rsid w:val="00715EC2"/>
    <w:rsid w:val="00715FF1"/>
    <w:rsid w:val="00716C48"/>
    <w:rsid w:val="00716C66"/>
    <w:rsid w:val="00721983"/>
    <w:rsid w:val="00722D8D"/>
    <w:rsid w:val="00723323"/>
    <w:rsid w:val="0072408A"/>
    <w:rsid w:val="00724EC3"/>
    <w:rsid w:val="0072639F"/>
    <w:rsid w:val="00730224"/>
    <w:rsid w:val="00734DEE"/>
    <w:rsid w:val="007359E5"/>
    <w:rsid w:val="00736CA7"/>
    <w:rsid w:val="00737321"/>
    <w:rsid w:val="00740299"/>
    <w:rsid w:val="007409DE"/>
    <w:rsid w:val="00742FB2"/>
    <w:rsid w:val="00747873"/>
    <w:rsid w:val="0075502E"/>
    <w:rsid w:val="00755D4D"/>
    <w:rsid w:val="0076001B"/>
    <w:rsid w:val="0076199A"/>
    <w:rsid w:val="00762C67"/>
    <w:rsid w:val="0076329A"/>
    <w:rsid w:val="0076410B"/>
    <w:rsid w:val="00766538"/>
    <w:rsid w:val="00773F87"/>
    <w:rsid w:val="0077523F"/>
    <w:rsid w:val="0077663B"/>
    <w:rsid w:val="007779E5"/>
    <w:rsid w:val="007802C6"/>
    <w:rsid w:val="007804AB"/>
    <w:rsid w:val="007805ED"/>
    <w:rsid w:val="00786B08"/>
    <w:rsid w:val="0079051D"/>
    <w:rsid w:val="00793DE8"/>
    <w:rsid w:val="00795319"/>
    <w:rsid w:val="0079630E"/>
    <w:rsid w:val="007A047A"/>
    <w:rsid w:val="007A2C6B"/>
    <w:rsid w:val="007A36CC"/>
    <w:rsid w:val="007A4680"/>
    <w:rsid w:val="007A4DE0"/>
    <w:rsid w:val="007A5ADB"/>
    <w:rsid w:val="007A64A5"/>
    <w:rsid w:val="007B0CAD"/>
    <w:rsid w:val="007B0D0A"/>
    <w:rsid w:val="007B159C"/>
    <w:rsid w:val="007B1EC2"/>
    <w:rsid w:val="007C107D"/>
    <w:rsid w:val="007C1720"/>
    <w:rsid w:val="007C324E"/>
    <w:rsid w:val="007C3A0C"/>
    <w:rsid w:val="007C4648"/>
    <w:rsid w:val="007C4EC7"/>
    <w:rsid w:val="007C6F6F"/>
    <w:rsid w:val="007C7FF5"/>
    <w:rsid w:val="007D1598"/>
    <w:rsid w:val="007D3D42"/>
    <w:rsid w:val="007D3D8F"/>
    <w:rsid w:val="007D48BA"/>
    <w:rsid w:val="007D5C5E"/>
    <w:rsid w:val="007D5DD5"/>
    <w:rsid w:val="007D6EBF"/>
    <w:rsid w:val="007D7E2D"/>
    <w:rsid w:val="007E0669"/>
    <w:rsid w:val="007E2311"/>
    <w:rsid w:val="007E2B72"/>
    <w:rsid w:val="007F1213"/>
    <w:rsid w:val="007F35F0"/>
    <w:rsid w:val="007F3910"/>
    <w:rsid w:val="007F3B81"/>
    <w:rsid w:val="007F6D4C"/>
    <w:rsid w:val="00800178"/>
    <w:rsid w:val="0080070B"/>
    <w:rsid w:val="008037B4"/>
    <w:rsid w:val="0080556D"/>
    <w:rsid w:val="00812415"/>
    <w:rsid w:val="0081589A"/>
    <w:rsid w:val="00816AB0"/>
    <w:rsid w:val="00821A8C"/>
    <w:rsid w:val="0082234E"/>
    <w:rsid w:val="00826C6A"/>
    <w:rsid w:val="00830115"/>
    <w:rsid w:val="008317AC"/>
    <w:rsid w:val="00835938"/>
    <w:rsid w:val="008363FE"/>
    <w:rsid w:val="008371D5"/>
    <w:rsid w:val="008413F3"/>
    <w:rsid w:val="00843A58"/>
    <w:rsid w:val="00845763"/>
    <w:rsid w:val="00846851"/>
    <w:rsid w:val="00847A25"/>
    <w:rsid w:val="00847F34"/>
    <w:rsid w:val="008501C2"/>
    <w:rsid w:val="008503B2"/>
    <w:rsid w:val="0085455F"/>
    <w:rsid w:val="00855CC2"/>
    <w:rsid w:val="00857CE4"/>
    <w:rsid w:val="0086292E"/>
    <w:rsid w:val="00864B4D"/>
    <w:rsid w:val="00864DC6"/>
    <w:rsid w:val="00873537"/>
    <w:rsid w:val="00883AC9"/>
    <w:rsid w:val="00883D5D"/>
    <w:rsid w:val="008853F0"/>
    <w:rsid w:val="00890448"/>
    <w:rsid w:val="0089080F"/>
    <w:rsid w:val="00896E07"/>
    <w:rsid w:val="008974F5"/>
    <w:rsid w:val="00897D80"/>
    <w:rsid w:val="008A08EC"/>
    <w:rsid w:val="008A25BD"/>
    <w:rsid w:val="008A268C"/>
    <w:rsid w:val="008A43A4"/>
    <w:rsid w:val="008A4CCD"/>
    <w:rsid w:val="008A769F"/>
    <w:rsid w:val="008B0C4D"/>
    <w:rsid w:val="008B2CEB"/>
    <w:rsid w:val="008B2DDC"/>
    <w:rsid w:val="008B6314"/>
    <w:rsid w:val="008C01CF"/>
    <w:rsid w:val="008C17B2"/>
    <w:rsid w:val="008C618B"/>
    <w:rsid w:val="008C7261"/>
    <w:rsid w:val="008D0AA1"/>
    <w:rsid w:val="008D1EDD"/>
    <w:rsid w:val="008D24D0"/>
    <w:rsid w:val="008D3FFC"/>
    <w:rsid w:val="008D4475"/>
    <w:rsid w:val="008D603A"/>
    <w:rsid w:val="008D6EFC"/>
    <w:rsid w:val="008D7018"/>
    <w:rsid w:val="008D73EA"/>
    <w:rsid w:val="008D7E11"/>
    <w:rsid w:val="008E0AED"/>
    <w:rsid w:val="008E3503"/>
    <w:rsid w:val="008E4232"/>
    <w:rsid w:val="008E5A6A"/>
    <w:rsid w:val="008F0B0C"/>
    <w:rsid w:val="008F0FD0"/>
    <w:rsid w:val="008F4D2E"/>
    <w:rsid w:val="008F6CF5"/>
    <w:rsid w:val="008F6F9F"/>
    <w:rsid w:val="00900AEA"/>
    <w:rsid w:val="00904349"/>
    <w:rsid w:val="00907066"/>
    <w:rsid w:val="0091214E"/>
    <w:rsid w:val="00914F05"/>
    <w:rsid w:val="0091621C"/>
    <w:rsid w:val="0091674C"/>
    <w:rsid w:val="00920C49"/>
    <w:rsid w:val="00921CDB"/>
    <w:rsid w:val="00925A45"/>
    <w:rsid w:val="00927B80"/>
    <w:rsid w:val="00935F04"/>
    <w:rsid w:val="00937ECD"/>
    <w:rsid w:val="00940C49"/>
    <w:rsid w:val="00940FAA"/>
    <w:rsid w:val="00943BE8"/>
    <w:rsid w:val="00946F7C"/>
    <w:rsid w:val="0094752E"/>
    <w:rsid w:val="009515B9"/>
    <w:rsid w:val="00951E6F"/>
    <w:rsid w:val="00961E5E"/>
    <w:rsid w:val="0096276C"/>
    <w:rsid w:val="00964879"/>
    <w:rsid w:val="00964DE2"/>
    <w:rsid w:val="0096735B"/>
    <w:rsid w:val="00967AFE"/>
    <w:rsid w:val="0097235F"/>
    <w:rsid w:val="00981AF2"/>
    <w:rsid w:val="0098290B"/>
    <w:rsid w:val="009838CE"/>
    <w:rsid w:val="00984E0E"/>
    <w:rsid w:val="00984FED"/>
    <w:rsid w:val="009915B6"/>
    <w:rsid w:val="00993F4B"/>
    <w:rsid w:val="009957EE"/>
    <w:rsid w:val="00995D2E"/>
    <w:rsid w:val="009A0D3F"/>
    <w:rsid w:val="009A180B"/>
    <w:rsid w:val="009A6B5C"/>
    <w:rsid w:val="009A6DB0"/>
    <w:rsid w:val="009A6DC9"/>
    <w:rsid w:val="009B30E5"/>
    <w:rsid w:val="009C1A04"/>
    <w:rsid w:val="009C3DA2"/>
    <w:rsid w:val="009C4D11"/>
    <w:rsid w:val="009C5C91"/>
    <w:rsid w:val="009C673C"/>
    <w:rsid w:val="009C7C43"/>
    <w:rsid w:val="009C7E48"/>
    <w:rsid w:val="009D196D"/>
    <w:rsid w:val="009D31D0"/>
    <w:rsid w:val="009D412A"/>
    <w:rsid w:val="009D52EC"/>
    <w:rsid w:val="009D678E"/>
    <w:rsid w:val="009D716A"/>
    <w:rsid w:val="009E0B7D"/>
    <w:rsid w:val="009E4DF9"/>
    <w:rsid w:val="009E610F"/>
    <w:rsid w:val="009F117C"/>
    <w:rsid w:val="009F276F"/>
    <w:rsid w:val="009F333C"/>
    <w:rsid w:val="009F470D"/>
    <w:rsid w:val="009F6C3A"/>
    <w:rsid w:val="00A028CA"/>
    <w:rsid w:val="00A02CE5"/>
    <w:rsid w:val="00A04574"/>
    <w:rsid w:val="00A1289D"/>
    <w:rsid w:val="00A175CA"/>
    <w:rsid w:val="00A22C12"/>
    <w:rsid w:val="00A3015E"/>
    <w:rsid w:val="00A3133E"/>
    <w:rsid w:val="00A355A6"/>
    <w:rsid w:val="00A361EA"/>
    <w:rsid w:val="00A42D99"/>
    <w:rsid w:val="00A438A3"/>
    <w:rsid w:val="00A461AC"/>
    <w:rsid w:val="00A463FE"/>
    <w:rsid w:val="00A579CE"/>
    <w:rsid w:val="00A57FC2"/>
    <w:rsid w:val="00A60FB0"/>
    <w:rsid w:val="00A61534"/>
    <w:rsid w:val="00A624A0"/>
    <w:rsid w:val="00A70D23"/>
    <w:rsid w:val="00A71E0C"/>
    <w:rsid w:val="00A81657"/>
    <w:rsid w:val="00A83A5C"/>
    <w:rsid w:val="00A8460A"/>
    <w:rsid w:val="00A85407"/>
    <w:rsid w:val="00A85F43"/>
    <w:rsid w:val="00A90198"/>
    <w:rsid w:val="00A90EC5"/>
    <w:rsid w:val="00A96126"/>
    <w:rsid w:val="00A96C45"/>
    <w:rsid w:val="00A97802"/>
    <w:rsid w:val="00A97E47"/>
    <w:rsid w:val="00AA1451"/>
    <w:rsid w:val="00AA14A0"/>
    <w:rsid w:val="00AA24FF"/>
    <w:rsid w:val="00AA299A"/>
    <w:rsid w:val="00AA2A03"/>
    <w:rsid w:val="00AA5AAD"/>
    <w:rsid w:val="00AA6789"/>
    <w:rsid w:val="00AA68F0"/>
    <w:rsid w:val="00AA7193"/>
    <w:rsid w:val="00AB132A"/>
    <w:rsid w:val="00AB1AB2"/>
    <w:rsid w:val="00AB1B3B"/>
    <w:rsid w:val="00AB6B9B"/>
    <w:rsid w:val="00AC1D1C"/>
    <w:rsid w:val="00AD62C9"/>
    <w:rsid w:val="00AE06A1"/>
    <w:rsid w:val="00AE19B8"/>
    <w:rsid w:val="00AE2E8F"/>
    <w:rsid w:val="00AE4020"/>
    <w:rsid w:val="00AE755E"/>
    <w:rsid w:val="00AF06EC"/>
    <w:rsid w:val="00AF1590"/>
    <w:rsid w:val="00AF4BB7"/>
    <w:rsid w:val="00AF5465"/>
    <w:rsid w:val="00AF588C"/>
    <w:rsid w:val="00AF5FC8"/>
    <w:rsid w:val="00AF63A9"/>
    <w:rsid w:val="00AF7B6D"/>
    <w:rsid w:val="00AF7FB3"/>
    <w:rsid w:val="00B0027E"/>
    <w:rsid w:val="00B01B42"/>
    <w:rsid w:val="00B02E6E"/>
    <w:rsid w:val="00B05FF4"/>
    <w:rsid w:val="00B06EE7"/>
    <w:rsid w:val="00B10788"/>
    <w:rsid w:val="00B10793"/>
    <w:rsid w:val="00B167F4"/>
    <w:rsid w:val="00B170B9"/>
    <w:rsid w:val="00B20AA5"/>
    <w:rsid w:val="00B22980"/>
    <w:rsid w:val="00B22D0B"/>
    <w:rsid w:val="00B231D4"/>
    <w:rsid w:val="00B24134"/>
    <w:rsid w:val="00B2457C"/>
    <w:rsid w:val="00B25467"/>
    <w:rsid w:val="00B26474"/>
    <w:rsid w:val="00B35C37"/>
    <w:rsid w:val="00B429B9"/>
    <w:rsid w:val="00B55D54"/>
    <w:rsid w:val="00B563D1"/>
    <w:rsid w:val="00B61498"/>
    <w:rsid w:val="00B614F9"/>
    <w:rsid w:val="00B63A74"/>
    <w:rsid w:val="00B67140"/>
    <w:rsid w:val="00B67934"/>
    <w:rsid w:val="00B719D0"/>
    <w:rsid w:val="00B75445"/>
    <w:rsid w:val="00B7734D"/>
    <w:rsid w:val="00B77D68"/>
    <w:rsid w:val="00B8297A"/>
    <w:rsid w:val="00B87806"/>
    <w:rsid w:val="00B9214F"/>
    <w:rsid w:val="00B947B2"/>
    <w:rsid w:val="00B94EB1"/>
    <w:rsid w:val="00B9596A"/>
    <w:rsid w:val="00B95D3E"/>
    <w:rsid w:val="00B97D9A"/>
    <w:rsid w:val="00BA0190"/>
    <w:rsid w:val="00BA086F"/>
    <w:rsid w:val="00BA0DB8"/>
    <w:rsid w:val="00BA3C8A"/>
    <w:rsid w:val="00BA44AD"/>
    <w:rsid w:val="00BA4CA6"/>
    <w:rsid w:val="00BA56E2"/>
    <w:rsid w:val="00BA5D8B"/>
    <w:rsid w:val="00BA7EEB"/>
    <w:rsid w:val="00BB2718"/>
    <w:rsid w:val="00BC0613"/>
    <w:rsid w:val="00BC13D9"/>
    <w:rsid w:val="00BC2BFC"/>
    <w:rsid w:val="00BC3876"/>
    <w:rsid w:val="00BC3CCC"/>
    <w:rsid w:val="00BD0C2A"/>
    <w:rsid w:val="00BD38BE"/>
    <w:rsid w:val="00BD5AD8"/>
    <w:rsid w:val="00BD61B7"/>
    <w:rsid w:val="00BD69FB"/>
    <w:rsid w:val="00BE0626"/>
    <w:rsid w:val="00BE1578"/>
    <w:rsid w:val="00BE1E47"/>
    <w:rsid w:val="00BE33E4"/>
    <w:rsid w:val="00BE4376"/>
    <w:rsid w:val="00BE6746"/>
    <w:rsid w:val="00BE7977"/>
    <w:rsid w:val="00BF02FD"/>
    <w:rsid w:val="00BF190D"/>
    <w:rsid w:val="00BF3F2B"/>
    <w:rsid w:val="00BF3F90"/>
    <w:rsid w:val="00BF4858"/>
    <w:rsid w:val="00C013B6"/>
    <w:rsid w:val="00C02688"/>
    <w:rsid w:val="00C033F2"/>
    <w:rsid w:val="00C0362B"/>
    <w:rsid w:val="00C157AB"/>
    <w:rsid w:val="00C1638C"/>
    <w:rsid w:val="00C17B27"/>
    <w:rsid w:val="00C22C22"/>
    <w:rsid w:val="00C22ED6"/>
    <w:rsid w:val="00C23140"/>
    <w:rsid w:val="00C26C0F"/>
    <w:rsid w:val="00C26C53"/>
    <w:rsid w:val="00C26E0E"/>
    <w:rsid w:val="00C31077"/>
    <w:rsid w:val="00C33258"/>
    <w:rsid w:val="00C35520"/>
    <w:rsid w:val="00C370D3"/>
    <w:rsid w:val="00C4123B"/>
    <w:rsid w:val="00C41B32"/>
    <w:rsid w:val="00C41B3C"/>
    <w:rsid w:val="00C431A8"/>
    <w:rsid w:val="00C43E85"/>
    <w:rsid w:val="00C448F2"/>
    <w:rsid w:val="00C47704"/>
    <w:rsid w:val="00C524A1"/>
    <w:rsid w:val="00C54F6F"/>
    <w:rsid w:val="00C5536F"/>
    <w:rsid w:val="00C569DD"/>
    <w:rsid w:val="00C63C4C"/>
    <w:rsid w:val="00C76545"/>
    <w:rsid w:val="00C8463C"/>
    <w:rsid w:val="00C865AC"/>
    <w:rsid w:val="00C91821"/>
    <w:rsid w:val="00C91DE6"/>
    <w:rsid w:val="00C92810"/>
    <w:rsid w:val="00C92AD3"/>
    <w:rsid w:val="00C934F6"/>
    <w:rsid w:val="00C94085"/>
    <w:rsid w:val="00C946B5"/>
    <w:rsid w:val="00C97A34"/>
    <w:rsid w:val="00CA1E7D"/>
    <w:rsid w:val="00CA295B"/>
    <w:rsid w:val="00CA5BA3"/>
    <w:rsid w:val="00CB04FB"/>
    <w:rsid w:val="00CB1640"/>
    <w:rsid w:val="00CB39B0"/>
    <w:rsid w:val="00CB7584"/>
    <w:rsid w:val="00CC1927"/>
    <w:rsid w:val="00CC2DDF"/>
    <w:rsid w:val="00CC3848"/>
    <w:rsid w:val="00CC555E"/>
    <w:rsid w:val="00CD182D"/>
    <w:rsid w:val="00CD1960"/>
    <w:rsid w:val="00CD2197"/>
    <w:rsid w:val="00CD2B7D"/>
    <w:rsid w:val="00CD39BF"/>
    <w:rsid w:val="00CD56B9"/>
    <w:rsid w:val="00CD748E"/>
    <w:rsid w:val="00CD7992"/>
    <w:rsid w:val="00CE026D"/>
    <w:rsid w:val="00CE0D7B"/>
    <w:rsid w:val="00CE4D5F"/>
    <w:rsid w:val="00CE577A"/>
    <w:rsid w:val="00CE6A90"/>
    <w:rsid w:val="00CF0CF7"/>
    <w:rsid w:val="00CF121F"/>
    <w:rsid w:val="00CF12A3"/>
    <w:rsid w:val="00CF3292"/>
    <w:rsid w:val="00CF57AC"/>
    <w:rsid w:val="00CF7520"/>
    <w:rsid w:val="00D0457E"/>
    <w:rsid w:val="00D07834"/>
    <w:rsid w:val="00D07945"/>
    <w:rsid w:val="00D07ED4"/>
    <w:rsid w:val="00D116E5"/>
    <w:rsid w:val="00D11B4C"/>
    <w:rsid w:val="00D15C19"/>
    <w:rsid w:val="00D15CF4"/>
    <w:rsid w:val="00D160F0"/>
    <w:rsid w:val="00D20012"/>
    <w:rsid w:val="00D20046"/>
    <w:rsid w:val="00D209E6"/>
    <w:rsid w:val="00D21383"/>
    <w:rsid w:val="00D22F0D"/>
    <w:rsid w:val="00D25B4B"/>
    <w:rsid w:val="00D25F1D"/>
    <w:rsid w:val="00D30C52"/>
    <w:rsid w:val="00D3153A"/>
    <w:rsid w:val="00D31C2A"/>
    <w:rsid w:val="00D35595"/>
    <w:rsid w:val="00D35640"/>
    <w:rsid w:val="00D379A8"/>
    <w:rsid w:val="00D41A15"/>
    <w:rsid w:val="00D45350"/>
    <w:rsid w:val="00D4545E"/>
    <w:rsid w:val="00D464D0"/>
    <w:rsid w:val="00D4687F"/>
    <w:rsid w:val="00D46922"/>
    <w:rsid w:val="00D4714A"/>
    <w:rsid w:val="00D5241B"/>
    <w:rsid w:val="00D533FA"/>
    <w:rsid w:val="00D545A1"/>
    <w:rsid w:val="00D56380"/>
    <w:rsid w:val="00D56FE1"/>
    <w:rsid w:val="00D64365"/>
    <w:rsid w:val="00D65A1F"/>
    <w:rsid w:val="00D65DA5"/>
    <w:rsid w:val="00D6606F"/>
    <w:rsid w:val="00D73030"/>
    <w:rsid w:val="00D818AB"/>
    <w:rsid w:val="00D82B33"/>
    <w:rsid w:val="00D84417"/>
    <w:rsid w:val="00D900DA"/>
    <w:rsid w:val="00D90194"/>
    <w:rsid w:val="00D91D47"/>
    <w:rsid w:val="00DA3A39"/>
    <w:rsid w:val="00DA48AB"/>
    <w:rsid w:val="00DA7BAD"/>
    <w:rsid w:val="00DB0AD9"/>
    <w:rsid w:val="00DB46C8"/>
    <w:rsid w:val="00DC1B70"/>
    <w:rsid w:val="00DC30CA"/>
    <w:rsid w:val="00DC393F"/>
    <w:rsid w:val="00DC4E7C"/>
    <w:rsid w:val="00DC6ACC"/>
    <w:rsid w:val="00DD4158"/>
    <w:rsid w:val="00DD7651"/>
    <w:rsid w:val="00DD7A31"/>
    <w:rsid w:val="00DE22ED"/>
    <w:rsid w:val="00DF10C1"/>
    <w:rsid w:val="00DF1569"/>
    <w:rsid w:val="00DF3BD4"/>
    <w:rsid w:val="00DF5C32"/>
    <w:rsid w:val="00DF5FA8"/>
    <w:rsid w:val="00DF623C"/>
    <w:rsid w:val="00E01AF1"/>
    <w:rsid w:val="00E046DB"/>
    <w:rsid w:val="00E107D5"/>
    <w:rsid w:val="00E14CC5"/>
    <w:rsid w:val="00E17488"/>
    <w:rsid w:val="00E212ED"/>
    <w:rsid w:val="00E2411D"/>
    <w:rsid w:val="00E27EE0"/>
    <w:rsid w:val="00E30162"/>
    <w:rsid w:val="00E323AC"/>
    <w:rsid w:val="00E33EC4"/>
    <w:rsid w:val="00E35E9A"/>
    <w:rsid w:val="00E46CD8"/>
    <w:rsid w:val="00E50E48"/>
    <w:rsid w:val="00E517AF"/>
    <w:rsid w:val="00E54A25"/>
    <w:rsid w:val="00E54EAE"/>
    <w:rsid w:val="00E5615B"/>
    <w:rsid w:val="00E5685E"/>
    <w:rsid w:val="00E56DE0"/>
    <w:rsid w:val="00E579A5"/>
    <w:rsid w:val="00E60994"/>
    <w:rsid w:val="00E61D47"/>
    <w:rsid w:val="00E637DB"/>
    <w:rsid w:val="00E63D3B"/>
    <w:rsid w:val="00E670C7"/>
    <w:rsid w:val="00E67846"/>
    <w:rsid w:val="00E710D4"/>
    <w:rsid w:val="00E74B51"/>
    <w:rsid w:val="00E75073"/>
    <w:rsid w:val="00E76084"/>
    <w:rsid w:val="00E76BDF"/>
    <w:rsid w:val="00E773B8"/>
    <w:rsid w:val="00E80E84"/>
    <w:rsid w:val="00E81E14"/>
    <w:rsid w:val="00E821C3"/>
    <w:rsid w:val="00E82928"/>
    <w:rsid w:val="00E84651"/>
    <w:rsid w:val="00E87311"/>
    <w:rsid w:val="00E87D44"/>
    <w:rsid w:val="00E9275E"/>
    <w:rsid w:val="00E93563"/>
    <w:rsid w:val="00E938BB"/>
    <w:rsid w:val="00E94272"/>
    <w:rsid w:val="00E94495"/>
    <w:rsid w:val="00E948C6"/>
    <w:rsid w:val="00E952EF"/>
    <w:rsid w:val="00E9716C"/>
    <w:rsid w:val="00EA0BA2"/>
    <w:rsid w:val="00EA2D8E"/>
    <w:rsid w:val="00EA3512"/>
    <w:rsid w:val="00EA596D"/>
    <w:rsid w:val="00EB1713"/>
    <w:rsid w:val="00EB2113"/>
    <w:rsid w:val="00EB2FF7"/>
    <w:rsid w:val="00EB3AE0"/>
    <w:rsid w:val="00EB5F8D"/>
    <w:rsid w:val="00EB602B"/>
    <w:rsid w:val="00EC2500"/>
    <w:rsid w:val="00EC33AB"/>
    <w:rsid w:val="00EC405A"/>
    <w:rsid w:val="00EC4EB1"/>
    <w:rsid w:val="00EC52B2"/>
    <w:rsid w:val="00ED0AAC"/>
    <w:rsid w:val="00ED313C"/>
    <w:rsid w:val="00ED36A2"/>
    <w:rsid w:val="00EE0935"/>
    <w:rsid w:val="00EE174A"/>
    <w:rsid w:val="00EE2953"/>
    <w:rsid w:val="00EE5DBF"/>
    <w:rsid w:val="00EF29CA"/>
    <w:rsid w:val="00EF3EBC"/>
    <w:rsid w:val="00EF679F"/>
    <w:rsid w:val="00EF6FB5"/>
    <w:rsid w:val="00EF7448"/>
    <w:rsid w:val="00F00865"/>
    <w:rsid w:val="00F00DF3"/>
    <w:rsid w:val="00F017DE"/>
    <w:rsid w:val="00F0435F"/>
    <w:rsid w:val="00F05DEA"/>
    <w:rsid w:val="00F075EA"/>
    <w:rsid w:val="00F07DC1"/>
    <w:rsid w:val="00F119A9"/>
    <w:rsid w:val="00F12641"/>
    <w:rsid w:val="00F12729"/>
    <w:rsid w:val="00F12847"/>
    <w:rsid w:val="00F13581"/>
    <w:rsid w:val="00F13F98"/>
    <w:rsid w:val="00F15524"/>
    <w:rsid w:val="00F15E66"/>
    <w:rsid w:val="00F203C2"/>
    <w:rsid w:val="00F216A1"/>
    <w:rsid w:val="00F21727"/>
    <w:rsid w:val="00F221E5"/>
    <w:rsid w:val="00F23E6E"/>
    <w:rsid w:val="00F27CC9"/>
    <w:rsid w:val="00F3050A"/>
    <w:rsid w:val="00F3188B"/>
    <w:rsid w:val="00F37458"/>
    <w:rsid w:val="00F37DCC"/>
    <w:rsid w:val="00F41F5D"/>
    <w:rsid w:val="00F43AD7"/>
    <w:rsid w:val="00F50959"/>
    <w:rsid w:val="00F51F8A"/>
    <w:rsid w:val="00F56C58"/>
    <w:rsid w:val="00F63735"/>
    <w:rsid w:val="00F6409B"/>
    <w:rsid w:val="00F657BB"/>
    <w:rsid w:val="00F671D1"/>
    <w:rsid w:val="00F70DDD"/>
    <w:rsid w:val="00F76B0F"/>
    <w:rsid w:val="00F824B1"/>
    <w:rsid w:val="00F843F9"/>
    <w:rsid w:val="00F8463E"/>
    <w:rsid w:val="00F9054D"/>
    <w:rsid w:val="00F908C3"/>
    <w:rsid w:val="00F910C8"/>
    <w:rsid w:val="00F9602F"/>
    <w:rsid w:val="00FA0A49"/>
    <w:rsid w:val="00FA3B4A"/>
    <w:rsid w:val="00FA3D08"/>
    <w:rsid w:val="00FA7052"/>
    <w:rsid w:val="00FA7298"/>
    <w:rsid w:val="00FB1C48"/>
    <w:rsid w:val="00FB3B77"/>
    <w:rsid w:val="00FC2E59"/>
    <w:rsid w:val="00FC46FC"/>
    <w:rsid w:val="00FC62CF"/>
    <w:rsid w:val="00FD31ED"/>
    <w:rsid w:val="00FD6984"/>
    <w:rsid w:val="00FE2F30"/>
    <w:rsid w:val="00FE4165"/>
    <w:rsid w:val="00FE5CC5"/>
    <w:rsid w:val="00FE67BA"/>
    <w:rsid w:val="00FE6CFD"/>
    <w:rsid w:val="00FE6F40"/>
    <w:rsid w:val="00FE7A68"/>
    <w:rsid w:val="00FE7D32"/>
    <w:rsid w:val="00FF43F8"/>
    <w:rsid w:val="00FF6FB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EED1CE"/>
  <w15:docId w15:val="{7F0E3DA2-6F3A-4AE9-ABB4-DFAE65BA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1CF"/>
  </w:style>
  <w:style w:type="paragraph" w:styleId="Heading1">
    <w:name w:val="heading 1"/>
    <w:basedOn w:val="Normal"/>
    <w:next w:val="Normal"/>
    <w:link w:val="Heading1Char"/>
    <w:uiPriority w:val="9"/>
    <w:qFormat/>
    <w:rsid w:val="00437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B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7B29"/>
  </w:style>
  <w:style w:type="paragraph" w:styleId="Footer">
    <w:name w:val="footer"/>
    <w:basedOn w:val="Normal"/>
    <w:link w:val="FooterChar"/>
    <w:uiPriority w:val="99"/>
    <w:unhideWhenUsed/>
    <w:rsid w:val="00437B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B29"/>
  </w:style>
  <w:style w:type="paragraph" w:styleId="BalloonText">
    <w:name w:val="Balloon Text"/>
    <w:basedOn w:val="Normal"/>
    <w:link w:val="BalloonTextChar"/>
    <w:uiPriority w:val="99"/>
    <w:semiHidden/>
    <w:unhideWhenUsed/>
    <w:rsid w:val="0043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B29"/>
    <w:rPr>
      <w:rFonts w:ascii="Tahoma" w:hAnsi="Tahoma" w:cs="Tahoma"/>
      <w:sz w:val="16"/>
      <w:szCs w:val="16"/>
    </w:rPr>
  </w:style>
  <w:style w:type="paragraph" w:styleId="Title">
    <w:name w:val="Title"/>
    <w:basedOn w:val="Normal"/>
    <w:next w:val="Normal"/>
    <w:link w:val="TitleChar"/>
    <w:uiPriority w:val="10"/>
    <w:qFormat/>
    <w:rsid w:val="008E3503"/>
    <w:pPr>
      <w:pBdr>
        <w:bottom w:val="single" w:sz="8" w:space="4" w:color="4F81BD" w:themeColor="accent1"/>
      </w:pBdr>
      <w:spacing w:after="300" w:line="240" w:lineRule="auto"/>
      <w:contextualSpacing/>
    </w:pPr>
    <w:rPr>
      <w:rFonts w:asciiTheme="majorHAnsi" w:eastAsiaTheme="majorEastAsia" w:hAnsiTheme="majorHAnsi" w:cstheme="majorBidi"/>
      <w:color w:val="365F91" w:themeColor="accent1" w:themeShade="BF"/>
      <w:spacing w:val="5"/>
      <w:kern w:val="28"/>
      <w:sz w:val="48"/>
      <w:szCs w:val="52"/>
      <w:lang w:val="en-US"/>
    </w:rPr>
  </w:style>
  <w:style w:type="character" w:customStyle="1" w:styleId="TitleChar">
    <w:name w:val="Title Char"/>
    <w:basedOn w:val="DefaultParagraphFont"/>
    <w:link w:val="Title"/>
    <w:uiPriority w:val="10"/>
    <w:rsid w:val="008E3503"/>
    <w:rPr>
      <w:rFonts w:asciiTheme="majorHAnsi" w:eastAsiaTheme="majorEastAsia" w:hAnsiTheme="majorHAnsi" w:cstheme="majorBidi"/>
      <w:color w:val="365F91" w:themeColor="accent1" w:themeShade="BF"/>
      <w:spacing w:val="5"/>
      <w:kern w:val="28"/>
      <w:sz w:val="48"/>
      <w:szCs w:val="52"/>
      <w:lang w:val="en-US"/>
    </w:rPr>
  </w:style>
  <w:style w:type="character" w:customStyle="1" w:styleId="Heading1Char">
    <w:name w:val="Heading 1 Char"/>
    <w:basedOn w:val="DefaultParagraphFont"/>
    <w:link w:val="Heading1"/>
    <w:uiPriority w:val="9"/>
    <w:rsid w:val="00437B2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7B29"/>
    <w:rPr>
      <w:color w:val="0000FF" w:themeColor="hyperlink"/>
      <w:u w:val="single"/>
    </w:rPr>
  </w:style>
  <w:style w:type="table" w:styleId="TableGrid">
    <w:name w:val="Table Grid"/>
    <w:basedOn w:val="TableNormal"/>
    <w:uiPriority w:val="59"/>
    <w:rsid w:val="0043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3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3569">
      <w:bodyDiv w:val="1"/>
      <w:marLeft w:val="0"/>
      <w:marRight w:val="0"/>
      <w:marTop w:val="0"/>
      <w:marBottom w:val="0"/>
      <w:divBdr>
        <w:top w:val="none" w:sz="0" w:space="0" w:color="auto"/>
        <w:left w:val="none" w:sz="0" w:space="0" w:color="auto"/>
        <w:bottom w:val="none" w:sz="0" w:space="0" w:color="auto"/>
        <w:right w:val="none" w:sz="0" w:space="0" w:color="auto"/>
      </w:divBdr>
    </w:div>
    <w:div w:id="558784411">
      <w:bodyDiv w:val="1"/>
      <w:marLeft w:val="0"/>
      <w:marRight w:val="0"/>
      <w:marTop w:val="0"/>
      <w:marBottom w:val="0"/>
      <w:divBdr>
        <w:top w:val="none" w:sz="0" w:space="0" w:color="auto"/>
        <w:left w:val="none" w:sz="0" w:space="0" w:color="auto"/>
        <w:bottom w:val="none" w:sz="0" w:space="0" w:color="auto"/>
        <w:right w:val="none" w:sz="0" w:space="0" w:color="auto"/>
      </w:divBdr>
    </w:div>
    <w:div w:id="1272858551">
      <w:bodyDiv w:val="1"/>
      <w:marLeft w:val="0"/>
      <w:marRight w:val="0"/>
      <w:marTop w:val="0"/>
      <w:marBottom w:val="0"/>
      <w:divBdr>
        <w:top w:val="none" w:sz="0" w:space="0" w:color="auto"/>
        <w:left w:val="none" w:sz="0" w:space="0" w:color="auto"/>
        <w:bottom w:val="none" w:sz="0" w:space="0" w:color="auto"/>
        <w:right w:val="none" w:sz="0" w:space="0" w:color="auto"/>
      </w:divBdr>
    </w:div>
    <w:div w:id="1670016312">
      <w:bodyDiv w:val="1"/>
      <w:marLeft w:val="0"/>
      <w:marRight w:val="0"/>
      <w:marTop w:val="0"/>
      <w:marBottom w:val="0"/>
      <w:divBdr>
        <w:top w:val="none" w:sz="0" w:space="0" w:color="auto"/>
        <w:left w:val="none" w:sz="0" w:space="0" w:color="auto"/>
        <w:bottom w:val="none" w:sz="0" w:space="0" w:color="auto"/>
        <w:right w:val="none" w:sz="0" w:space="0" w:color="auto"/>
      </w:divBdr>
    </w:div>
    <w:div w:id="2031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1.png@01D62519.E83A3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9CCD0-B6F0-4B83-89E7-A031DC8E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Milos Milosevic</cp:lastModifiedBy>
  <cp:revision>3</cp:revision>
  <cp:lastPrinted>2020-03-25T14:17:00Z</cp:lastPrinted>
  <dcterms:created xsi:type="dcterms:W3CDTF">2020-05-08T09:39:00Z</dcterms:created>
  <dcterms:modified xsi:type="dcterms:W3CDTF">2020-05-08T10:00:00Z</dcterms:modified>
</cp:coreProperties>
</file>