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2"/>
      </w:tblGrid>
      <w:tr w:rsidR="00C31077" w:rsidRPr="00016181" w14:paraId="3D64C2E5" w14:textId="77777777" w:rsidTr="00C31077">
        <w:tc>
          <w:tcPr>
            <w:tcW w:w="9212" w:type="dxa"/>
            <w:shd w:val="clear" w:color="auto" w:fill="auto"/>
          </w:tcPr>
          <w:p w14:paraId="11FD4C4C" w14:textId="77777777" w:rsidR="00C31077" w:rsidRPr="00835938" w:rsidRDefault="00C31077" w:rsidP="0009796D">
            <w:pPr>
              <w:pStyle w:val="Heading1"/>
              <w:outlineLvl w:val="0"/>
              <w:rPr>
                <w:rFonts w:asciiTheme="minorHAnsi" w:hAnsiTheme="minorHAnsi"/>
                <w:color w:val="C00000"/>
                <w:sz w:val="48"/>
                <w:lang w:val="en-US"/>
              </w:rPr>
            </w:pPr>
            <w:r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Pr="007002A3">
              <w:rPr>
                <w:rFonts w:asciiTheme="minorHAnsi" w:hAnsiTheme="minorHAnsi"/>
                <w:color w:val="C00000"/>
                <w:sz w:val="40"/>
                <w:lang w:val="en-US"/>
              </w:rPr>
              <w:t xml:space="preserve"> Basket</w:t>
            </w:r>
          </w:p>
        </w:tc>
      </w:tr>
    </w:tbl>
    <w:p w14:paraId="5D95A960" w14:textId="59698AE2" w:rsidR="00437B29" w:rsidRDefault="00437B29" w:rsidP="00613F03">
      <w:pPr>
        <w:spacing w:before="120" w:after="120"/>
        <w:jc w:val="center"/>
        <w:rPr>
          <w:b/>
          <w:sz w:val="24"/>
          <w:lang w:val="en-US"/>
        </w:rPr>
      </w:pPr>
      <w:r w:rsidRPr="00835938">
        <w:rPr>
          <w:b/>
          <w:sz w:val="24"/>
          <w:lang w:val="en-US"/>
        </w:rPr>
        <w:t xml:space="preserve">Product update as of </w:t>
      </w:r>
      <w:r w:rsidR="005C51E7">
        <w:rPr>
          <w:b/>
          <w:sz w:val="24"/>
          <w:lang w:val="en-US"/>
        </w:rPr>
        <w:t>April 30</w:t>
      </w:r>
      <w:r w:rsidR="00423AE4">
        <w:rPr>
          <w:b/>
          <w:sz w:val="24"/>
          <w:lang w:val="en-US"/>
        </w:rPr>
        <w:t>,</w:t>
      </w:r>
      <w:r w:rsidR="00091112" w:rsidRPr="00835938">
        <w:rPr>
          <w:b/>
          <w:sz w:val="24"/>
          <w:lang w:val="en-US"/>
        </w:rPr>
        <w:t xml:space="preserve"> 2</w:t>
      </w:r>
      <w:r w:rsidR="00AF24DC">
        <w:rPr>
          <w:b/>
          <w:sz w:val="24"/>
          <w:lang w:val="en-US"/>
        </w:rPr>
        <w:t>0</w:t>
      </w:r>
      <w:r w:rsidR="00710B54">
        <w:rPr>
          <w:b/>
          <w:sz w:val="24"/>
          <w:lang w:val="en-US"/>
        </w:rPr>
        <w:t>20</w:t>
      </w:r>
    </w:p>
    <w:p w14:paraId="518FAE14" w14:textId="4CB76885" w:rsidR="008C618B" w:rsidRPr="00375E83" w:rsidRDefault="0009796D" w:rsidP="008C618B">
      <w:pPr>
        <w:spacing w:after="0"/>
        <w:rPr>
          <w:b/>
          <w:sz w:val="18"/>
          <w:lang w:val="en-US"/>
        </w:rPr>
      </w:pPr>
      <w:r w:rsidRPr="00375E83">
        <w:rPr>
          <w:b/>
          <w:sz w:val="18"/>
          <w:lang w:val="en-US"/>
        </w:rPr>
        <w:t>Certificate price</w:t>
      </w:r>
      <w:r w:rsidR="0094752E" w:rsidRPr="00375E83">
        <w:rPr>
          <w:b/>
          <w:sz w:val="18"/>
          <w:lang w:val="en-US"/>
        </w:rPr>
        <w:t xml:space="preserve"> (</w:t>
      </w:r>
      <w:r w:rsidR="005C51E7">
        <w:rPr>
          <w:b/>
          <w:sz w:val="18"/>
          <w:lang w:val="en-US"/>
        </w:rPr>
        <w:t>April 30</w:t>
      </w:r>
      <w:r w:rsidR="00F147F4" w:rsidRPr="00375E83">
        <w:rPr>
          <w:b/>
          <w:sz w:val="18"/>
          <w:lang w:val="en-US"/>
        </w:rPr>
        <w:t>,</w:t>
      </w:r>
      <w:r w:rsidR="0094752E" w:rsidRPr="00375E83">
        <w:rPr>
          <w:b/>
          <w:sz w:val="18"/>
          <w:lang w:val="en-US"/>
        </w:rPr>
        <w:t xml:space="preserve"> </w:t>
      </w:r>
      <w:r w:rsidR="0094752E" w:rsidRPr="00BF7177">
        <w:rPr>
          <w:b/>
          <w:sz w:val="18"/>
          <w:lang w:val="en-US"/>
        </w:rPr>
        <w:t>20</w:t>
      </w:r>
      <w:r w:rsidR="00710B54">
        <w:rPr>
          <w:b/>
          <w:sz w:val="18"/>
          <w:lang w:val="en-US"/>
        </w:rPr>
        <w:t>20</w:t>
      </w:r>
      <w:r w:rsidR="0094752E" w:rsidRPr="00BF7177">
        <w:rPr>
          <w:b/>
          <w:sz w:val="18"/>
          <w:lang w:val="en-US"/>
        </w:rPr>
        <w:t>)</w:t>
      </w:r>
      <w:r w:rsidR="00091112" w:rsidRPr="00BF7177">
        <w:rPr>
          <w:b/>
          <w:sz w:val="18"/>
          <w:lang w:val="en-US"/>
        </w:rPr>
        <w:t xml:space="preserve">: </w:t>
      </w:r>
      <w:r w:rsidR="00BF190D" w:rsidRPr="00BF7177">
        <w:rPr>
          <w:b/>
          <w:sz w:val="18"/>
          <w:lang w:val="en-US"/>
        </w:rPr>
        <w:t>EUR</w:t>
      </w:r>
      <w:r w:rsidR="000C6B56" w:rsidRPr="00BF7177">
        <w:rPr>
          <w:b/>
          <w:sz w:val="18"/>
          <w:lang w:val="en-US"/>
        </w:rPr>
        <w:t xml:space="preserve"> </w:t>
      </w:r>
      <w:r w:rsidR="00155076">
        <w:rPr>
          <w:b/>
          <w:sz w:val="18"/>
          <w:lang w:val="en-US"/>
        </w:rPr>
        <w:t>8</w:t>
      </w:r>
      <w:r w:rsidR="005C51E7">
        <w:rPr>
          <w:b/>
          <w:sz w:val="18"/>
          <w:lang w:val="en-US"/>
        </w:rPr>
        <w:t>5</w:t>
      </w:r>
      <w:r w:rsidR="008773DA">
        <w:rPr>
          <w:b/>
          <w:sz w:val="18"/>
          <w:lang w:val="en-US"/>
        </w:rPr>
        <w:t>.</w:t>
      </w:r>
      <w:r w:rsidR="005C51E7">
        <w:rPr>
          <w:b/>
          <w:sz w:val="18"/>
          <w:lang w:val="en-US"/>
        </w:rPr>
        <w:t>29</w:t>
      </w:r>
      <w:r w:rsidR="0078020F" w:rsidRPr="00BF7177">
        <w:rPr>
          <w:b/>
          <w:sz w:val="18"/>
          <w:lang w:val="en-US"/>
        </w:rPr>
        <w:t xml:space="preserve"> </w:t>
      </w:r>
      <w:r w:rsidR="00422DDA" w:rsidRPr="00BF7177">
        <w:rPr>
          <w:b/>
          <w:sz w:val="18"/>
          <w:lang w:val="en-US"/>
        </w:rPr>
        <w:t xml:space="preserve">monthly </w:t>
      </w:r>
      <w:r w:rsidR="001F37C1" w:rsidRPr="00BF7177">
        <w:rPr>
          <w:b/>
          <w:sz w:val="18"/>
          <w:lang w:val="en-US"/>
        </w:rPr>
        <w:t>p</w:t>
      </w:r>
      <w:r w:rsidR="00B37772" w:rsidRPr="00BF7177">
        <w:rPr>
          <w:b/>
          <w:sz w:val="18"/>
          <w:lang w:val="en-US"/>
        </w:rPr>
        <w:t>erformance:</w:t>
      </w:r>
      <w:r w:rsidR="007E60A2" w:rsidRPr="00BF7177">
        <w:rPr>
          <w:b/>
          <w:sz w:val="18"/>
          <w:lang w:val="en-US"/>
        </w:rPr>
        <w:t xml:space="preserve"> </w:t>
      </w:r>
      <w:r w:rsidR="005C51E7">
        <w:rPr>
          <w:b/>
          <w:sz w:val="18"/>
          <w:lang w:val="en-US"/>
        </w:rPr>
        <w:t>+5.3</w:t>
      </w:r>
      <w:r w:rsidR="00155076">
        <w:rPr>
          <w:b/>
          <w:sz w:val="18"/>
          <w:lang w:val="en-US"/>
        </w:rPr>
        <w:t>2</w:t>
      </w:r>
      <w:r w:rsidR="00091112" w:rsidRPr="00BF7177">
        <w:rPr>
          <w:b/>
          <w:sz w:val="18"/>
          <w:lang w:val="en-US"/>
        </w:rPr>
        <w:t>%</w:t>
      </w:r>
      <w:r w:rsidR="008C618B" w:rsidRPr="00BF7177">
        <w:rPr>
          <w:b/>
          <w:sz w:val="18"/>
          <w:lang w:val="en-US"/>
        </w:rPr>
        <w:t>, YTD:</w:t>
      </w:r>
      <w:r w:rsidR="004D4605" w:rsidRPr="00BF7177">
        <w:rPr>
          <w:b/>
          <w:sz w:val="18"/>
          <w:lang w:val="en-US"/>
        </w:rPr>
        <w:t xml:space="preserve"> </w:t>
      </w:r>
      <w:r w:rsidR="00710B54">
        <w:rPr>
          <w:b/>
          <w:sz w:val="18"/>
          <w:lang w:val="en-US"/>
        </w:rPr>
        <w:t>-</w:t>
      </w:r>
      <w:r w:rsidR="00155076">
        <w:rPr>
          <w:b/>
          <w:sz w:val="18"/>
          <w:lang w:val="en-US"/>
        </w:rPr>
        <w:t>1</w:t>
      </w:r>
      <w:r w:rsidR="005C51E7">
        <w:rPr>
          <w:b/>
          <w:sz w:val="18"/>
          <w:lang w:val="en-US"/>
        </w:rPr>
        <w:t>4</w:t>
      </w:r>
      <w:r w:rsidR="008773DA">
        <w:rPr>
          <w:b/>
          <w:sz w:val="18"/>
          <w:lang w:val="en-US"/>
        </w:rPr>
        <w:t>.</w:t>
      </w:r>
      <w:r w:rsidR="008C0330">
        <w:rPr>
          <w:b/>
          <w:sz w:val="18"/>
          <w:lang w:val="en-US"/>
        </w:rPr>
        <w:t>35</w:t>
      </w:r>
      <w:r w:rsidR="002363C5">
        <w:rPr>
          <w:b/>
          <w:sz w:val="18"/>
          <w:lang w:val="en-US"/>
        </w:rPr>
        <w:t>%</w:t>
      </w:r>
      <w:r w:rsidR="00375E83" w:rsidRPr="00BF7177">
        <w:rPr>
          <w:b/>
          <w:sz w:val="18"/>
          <w:lang w:val="en-US"/>
        </w:rPr>
        <w:t xml:space="preserve">, since inception: </w:t>
      </w:r>
      <w:r w:rsidR="005C51E7">
        <w:rPr>
          <w:b/>
          <w:sz w:val="18"/>
          <w:lang w:val="en-US"/>
        </w:rPr>
        <w:t>+1</w:t>
      </w:r>
      <w:r w:rsidR="008773DA">
        <w:rPr>
          <w:b/>
          <w:sz w:val="18"/>
          <w:lang w:val="en-US"/>
        </w:rPr>
        <w:t>.</w:t>
      </w:r>
      <w:r w:rsidR="005C51E7">
        <w:rPr>
          <w:b/>
          <w:sz w:val="18"/>
          <w:lang w:val="en-US"/>
        </w:rPr>
        <w:t>51</w:t>
      </w:r>
      <w:r w:rsidR="00375E83" w:rsidRPr="00BF7177">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7A2152ED" w:rsidR="00307EFF" w:rsidRDefault="00307EFF" w:rsidP="00307EFF">
      <w:pPr>
        <w:spacing w:line="240" w:lineRule="auto"/>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comparing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18BC590C" w14:textId="77777777" w:rsidR="00150331" w:rsidRPr="00307EFF" w:rsidRDefault="00150331" w:rsidP="00307EFF">
      <w:pPr>
        <w:spacing w:line="240" w:lineRule="auto"/>
        <w:jc w:val="both"/>
        <w:rPr>
          <w:color w:val="C00000"/>
          <w:sz w:val="18"/>
          <w:szCs w:val="18"/>
          <w:lang w:val="en-US"/>
        </w:rPr>
      </w:pPr>
    </w:p>
    <w:p w14:paraId="22570DA2" w14:textId="77777777" w:rsidR="00437B29" w:rsidRPr="00835938" w:rsidRDefault="008B0C4D"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1251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697"/>
        <w:gridCol w:w="160"/>
        <w:gridCol w:w="7655"/>
      </w:tblGrid>
      <w:tr w:rsidR="00E37603" w:rsidRPr="00E02585" w14:paraId="36390812" w14:textId="77777777" w:rsidTr="00094ED5">
        <w:trPr>
          <w:trHeight w:val="7175"/>
        </w:trPr>
        <w:tc>
          <w:tcPr>
            <w:tcW w:w="4697" w:type="dxa"/>
            <w:shd w:val="clear" w:color="auto" w:fill="auto"/>
          </w:tcPr>
          <w:p w14:paraId="57C2167B" w14:textId="1E1CCC15" w:rsidR="00737F08" w:rsidRDefault="00737F08" w:rsidP="00F20E73">
            <w:pPr>
              <w:spacing w:after="120"/>
              <w:jc w:val="both"/>
              <w:rPr>
                <w:sz w:val="17"/>
                <w:szCs w:val="17"/>
                <w:lang w:val="en-US"/>
              </w:rPr>
            </w:pPr>
          </w:p>
          <w:p w14:paraId="73117ABE" w14:textId="2CEBD0A0" w:rsidR="00672B47" w:rsidRDefault="004127C9" w:rsidP="00082AAD">
            <w:pPr>
              <w:spacing w:after="120"/>
              <w:jc w:val="both"/>
              <w:rPr>
                <w:sz w:val="17"/>
                <w:szCs w:val="17"/>
                <w:lang w:val="en-US"/>
              </w:rPr>
            </w:pPr>
            <w:r w:rsidRPr="00E06478">
              <w:rPr>
                <w:sz w:val="17"/>
                <w:szCs w:val="17"/>
                <w:lang w:val="en-US"/>
              </w:rPr>
              <w:t xml:space="preserve">The performance in </w:t>
            </w:r>
            <w:r w:rsidR="005C51E7">
              <w:rPr>
                <w:sz w:val="17"/>
                <w:szCs w:val="17"/>
                <w:lang w:val="en-US"/>
              </w:rPr>
              <w:t>April</w:t>
            </w:r>
            <w:r w:rsidR="008773DA" w:rsidRPr="00E06478">
              <w:rPr>
                <w:sz w:val="17"/>
                <w:szCs w:val="17"/>
                <w:lang w:val="en-US"/>
              </w:rPr>
              <w:t xml:space="preserve"> </w:t>
            </w:r>
            <w:r w:rsidR="004149B5" w:rsidRPr="00E06478">
              <w:rPr>
                <w:sz w:val="17"/>
                <w:szCs w:val="17"/>
                <w:lang w:val="en-US"/>
              </w:rPr>
              <w:t xml:space="preserve">was </w:t>
            </w:r>
            <w:r w:rsidR="005C51E7">
              <w:rPr>
                <w:sz w:val="17"/>
                <w:szCs w:val="17"/>
                <w:lang w:val="en-US"/>
              </w:rPr>
              <w:t>+5</w:t>
            </w:r>
            <w:r w:rsidR="008773DA" w:rsidRPr="00E06478">
              <w:rPr>
                <w:sz w:val="17"/>
                <w:szCs w:val="17"/>
                <w:lang w:val="en-US"/>
              </w:rPr>
              <w:t>.</w:t>
            </w:r>
            <w:r w:rsidR="005C51E7">
              <w:rPr>
                <w:sz w:val="17"/>
                <w:szCs w:val="17"/>
                <w:lang w:val="en-US"/>
              </w:rPr>
              <w:t>32</w:t>
            </w:r>
            <w:r w:rsidR="004149B5" w:rsidRPr="00E06478">
              <w:rPr>
                <w:sz w:val="17"/>
                <w:szCs w:val="17"/>
                <w:lang w:val="en-US"/>
              </w:rPr>
              <w:t xml:space="preserve">% </w:t>
            </w:r>
            <w:r w:rsidR="008773DA" w:rsidRPr="00E06478">
              <w:rPr>
                <w:sz w:val="17"/>
                <w:szCs w:val="17"/>
                <w:lang w:val="en-US"/>
              </w:rPr>
              <w:t xml:space="preserve">with </w:t>
            </w:r>
            <w:r w:rsidR="00150331">
              <w:rPr>
                <w:sz w:val="17"/>
                <w:szCs w:val="17"/>
                <w:lang w:val="en-US"/>
              </w:rPr>
              <w:t xml:space="preserve">ending cash quota of </w:t>
            </w:r>
            <w:r w:rsidR="005C51E7">
              <w:rPr>
                <w:sz w:val="17"/>
                <w:szCs w:val="17"/>
                <w:lang w:val="en-US"/>
              </w:rPr>
              <w:t>5</w:t>
            </w:r>
            <w:r w:rsidRPr="00E06478">
              <w:rPr>
                <w:sz w:val="17"/>
                <w:szCs w:val="17"/>
                <w:lang w:val="en-US"/>
              </w:rPr>
              <w:t>%.</w:t>
            </w:r>
            <w:r w:rsidR="00155076">
              <w:rPr>
                <w:sz w:val="17"/>
                <w:szCs w:val="17"/>
                <w:lang w:val="en-US"/>
              </w:rPr>
              <w:t xml:space="preserve"> </w:t>
            </w:r>
            <w:r w:rsidR="005C51E7">
              <w:rPr>
                <w:sz w:val="17"/>
                <w:szCs w:val="17"/>
                <w:lang w:val="en-US"/>
              </w:rPr>
              <w:t xml:space="preserve">High presence of cash quota in the start of the month was reason for slight underperforming index in April were </w:t>
            </w:r>
            <w:r w:rsidR="00A00A19">
              <w:rPr>
                <w:sz w:val="17"/>
                <w:szCs w:val="17"/>
                <w:lang w:val="en-US"/>
              </w:rPr>
              <w:t xml:space="preserve">STOXX Europe </w:t>
            </w:r>
            <w:r w:rsidR="005C51E7">
              <w:rPr>
                <w:sz w:val="17"/>
                <w:szCs w:val="17"/>
                <w:lang w:val="en-US"/>
              </w:rPr>
              <w:t>600 increased by 6.24%</w:t>
            </w:r>
            <w:r w:rsidR="00C52408">
              <w:rPr>
                <w:sz w:val="17"/>
                <w:szCs w:val="17"/>
                <w:lang w:val="en-US"/>
              </w:rPr>
              <w:t>.</w:t>
            </w:r>
            <w:r w:rsidR="005C51E7">
              <w:rPr>
                <w:sz w:val="17"/>
                <w:szCs w:val="17"/>
                <w:lang w:val="en-US"/>
              </w:rPr>
              <w:t xml:space="preserve"> Combining </w:t>
            </w:r>
            <w:r w:rsidR="00A00A19">
              <w:rPr>
                <w:sz w:val="17"/>
                <w:szCs w:val="17"/>
                <w:lang w:val="en-US"/>
              </w:rPr>
              <w:t>the</w:t>
            </w:r>
            <w:r w:rsidR="00B45773">
              <w:rPr>
                <w:sz w:val="17"/>
                <w:szCs w:val="17"/>
                <w:lang w:val="en-US"/>
              </w:rPr>
              <w:t xml:space="preserve"> results from last two</w:t>
            </w:r>
            <w:r w:rsidR="00A00A19">
              <w:rPr>
                <w:sz w:val="17"/>
                <w:szCs w:val="17"/>
                <w:lang w:val="en-US"/>
              </w:rPr>
              <w:t xml:space="preserve"> months after corona outbreak, we beat benchmark by 2%.</w:t>
            </w:r>
            <w:r w:rsidR="00C52408">
              <w:rPr>
                <w:sz w:val="17"/>
                <w:szCs w:val="17"/>
                <w:lang w:val="en-US"/>
              </w:rPr>
              <w:t xml:space="preserve"> </w:t>
            </w:r>
            <w:r w:rsidR="00A00A19">
              <w:rPr>
                <w:sz w:val="17"/>
                <w:szCs w:val="17"/>
                <w:lang w:val="en-US"/>
              </w:rPr>
              <w:t>Lockdown measures and production break started in March were extended, but slowing down of virus spread coupled with massive stimulus measures and announcements of restarting the economy in May reversed trend on financial markets in April.</w:t>
            </w:r>
          </w:p>
          <w:p w14:paraId="3589EF10" w14:textId="77777777" w:rsidR="0092571C" w:rsidRDefault="0092571C" w:rsidP="00082AAD">
            <w:pPr>
              <w:spacing w:after="120"/>
              <w:jc w:val="both"/>
              <w:rPr>
                <w:sz w:val="17"/>
                <w:szCs w:val="17"/>
                <w:lang w:val="en-US"/>
              </w:rPr>
            </w:pPr>
          </w:p>
          <w:p w14:paraId="02B15C9B" w14:textId="7C1C5217" w:rsidR="00082AAD" w:rsidRPr="00672B47" w:rsidRDefault="00D51D9B" w:rsidP="00A90EA9">
            <w:pPr>
              <w:spacing w:after="120"/>
              <w:jc w:val="both"/>
              <w:rPr>
                <w:sz w:val="17"/>
                <w:szCs w:val="17"/>
                <w:lang w:val="en-US"/>
              </w:rPr>
            </w:pPr>
            <w:r w:rsidRPr="00E06478">
              <w:rPr>
                <w:sz w:val="17"/>
                <w:szCs w:val="17"/>
                <w:lang w:val="en-US"/>
              </w:rPr>
              <w:t>T</w:t>
            </w:r>
            <w:r w:rsidR="00317CEC" w:rsidRPr="00E06478">
              <w:rPr>
                <w:sz w:val="17"/>
                <w:szCs w:val="17"/>
                <w:lang w:val="en-US"/>
              </w:rPr>
              <w:t>he invested part consists of 1</w:t>
            </w:r>
            <w:r w:rsidR="00A00A19">
              <w:rPr>
                <w:sz w:val="17"/>
                <w:szCs w:val="17"/>
                <w:lang w:val="en-US"/>
              </w:rPr>
              <w:t>6</w:t>
            </w:r>
            <w:r w:rsidR="00A776E8">
              <w:rPr>
                <w:sz w:val="17"/>
                <w:szCs w:val="17"/>
                <w:lang w:val="en-US"/>
              </w:rPr>
              <w:t xml:space="preserve"> sectors</w:t>
            </w:r>
            <w:r w:rsidR="00BF2DEB">
              <w:rPr>
                <w:sz w:val="17"/>
                <w:szCs w:val="17"/>
                <w:lang w:val="en-US"/>
              </w:rPr>
              <w:t xml:space="preserve">, </w:t>
            </w:r>
            <w:r w:rsidR="00A00A19">
              <w:rPr>
                <w:sz w:val="17"/>
                <w:szCs w:val="17"/>
                <w:lang w:val="en-US"/>
              </w:rPr>
              <w:t>and opposite to the last month when all sectors posted decrease, we have only one negative sector (oil &amp; gas)</w:t>
            </w:r>
            <w:r w:rsidR="00BF2DEB">
              <w:rPr>
                <w:sz w:val="17"/>
                <w:szCs w:val="17"/>
                <w:lang w:val="en-US"/>
              </w:rPr>
              <w:t>.</w:t>
            </w:r>
            <w:r w:rsidR="00AE2AFA">
              <w:rPr>
                <w:sz w:val="17"/>
                <w:szCs w:val="17"/>
                <w:lang w:val="en-US"/>
              </w:rPr>
              <w:t xml:space="preserve"> Increasing expenditures on Healthcare products alongside with more demand for traditional defensive stocks resulted with double digit growth in this sector, so the increasing exposure in this segment contributed to +1.58% performance in month result</w:t>
            </w:r>
            <w:r w:rsidR="00BF2DEB">
              <w:rPr>
                <w:sz w:val="17"/>
                <w:szCs w:val="17"/>
                <w:lang w:val="en-US"/>
              </w:rPr>
              <w:t xml:space="preserve">. </w:t>
            </w:r>
            <w:r w:rsidR="00AE2AFA">
              <w:rPr>
                <w:sz w:val="17"/>
                <w:szCs w:val="17"/>
                <w:lang w:val="en-US"/>
              </w:rPr>
              <w:t>Further overweighting Technology sector proved to be good decision, given the outperformance of this part of index. Demand for IT products remained largely</w:t>
            </w:r>
            <w:r w:rsidR="00A90EA9">
              <w:rPr>
                <w:sz w:val="17"/>
                <w:szCs w:val="17"/>
                <w:lang w:val="en-US"/>
              </w:rPr>
              <w:t xml:space="preserve"> unaffected, so total result was +0.94%.</w:t>
            </w:r>
            <w:r w:rsidR="00BF2DEB">
              <w:rPr>
                <w:sz w:val="17"/>
                <w:szCs w:val="17"/>
                <w:lang w:val="en-US"/>
              </w:rPr>
              <w:t xml:space="preserve"> </w:t>
            </w:r>
            <w:r w:rsidR="00A90EA9">
              <w:rPr>
                <w:sz w:val="17"/>
                <w:szCs w:val="17"/>
                <w:lang w:val="en-US"/>
              </w:rPr>
              <w:t>One of the highest weights in index, Industrial goods and Services perfor</w:t>
            </w:r>
            <w:r w:rsidR="00B45773">
              <w:rPr>
                <w:sz w:val="17"/>
                <w:szCs w:val="17"/>
                <w:lang w:val="en-US"/>
              </w:rPr>
              <w:t xml:space="preserve">med in line with the market, </w:t>
            </w:r>
            <w:r w:rsidR="00A90EA9">
              <w:rPr>
                <w:sz w:val="17"/>
                <w:szCs w:val="17"/>
                <w:lang w:val="en-US"/>
              </w:rPr>
              <w:t xml:space="preserve">our neutral position </w:t>
            </w:r>
            <w:r w:rsidR="009F71DB">
              <w:rPr>
                <w:sz w:val="17"/>
                <w:szCs w:val="17"/>
                <w:lang w:val="en-US"/>
              </w:rPr>
              <w:t>in</w:t>
            </w:r>
            <w:r w:rsidR="00A90EA9">
              <w:rPr>
                <w:sz w:val="17"/>
                <w:szCs w:val="17"/>
                <w:lang w:val="en-US"/>
              </w:rPr>
              <w:t xml:space="preserve"> this segment was third contributor in result with +0.78%</w:t>
            </w:r>
            <w:r w:rsidR="009F71DB">
              <w:rPr>
                <w:sz w:val="17"/>
                <w:szCs w:val="17"/>
                <w:lang w:val="en-US"/>
              </w:rPr>
              <w:t>.</w:t>
            </w:r>
            <w:r w:rsidR="00C52408">
              <w:rPr>
                <w:sz w:val="17"/>
                <w:szCs w:val="17"/>
                <w:lang w:val="en-US"/>
              </w:rPr>
              <w:t xml:space="preserve"> </w:t>
            </w:r>
            <w:r w:rsidR="00A90EA9">
              <w:rPr>
                <w:sz w:val="17"/>
                <w:szCs w:val="17"/>
                <w:lang w:val="en-US"/>
              </w:rPr>
              <w:t xml:space="preserve">On the other side, we continue to underweight banks and oil sector. Stock price movements still supporting our view, given that both sectors underperform index. Contribution from bank sector was only +0.1%, driven mostly by higher loan provisions as response to </w:t>
            </w:r>
            <w:r w:rsidR="006F0483">
              <w:rPr>
                <w:sz w:val="17"/>
                <w:szCs w:val="17"/>
                <w:lang w:val="en-US"/>
              </w:rPr>
              <w:t>almost certain recession. Oil sector was turbulent due to sharp decline in oil price, minor share in our portfolio limited losses to -0.11%.</w:t>
            </w:r>
            <w:r w:rsidR="009F71DB">
              <w:rPr>
                <w:sz w:val="17"/>
                <w:szCs w:val="17"/>
                <w:lang w:val="en-US"/>
              </w:rPr>
              <w:t xml:space="preserve"> </w:t>
            </w:r>
          </w:p>
        </w:tc>
        <w:tc>
          <w:tcPr>
            <w:tcW w:w="160" w:type="dxa"/>
            <w:tcBorders>
              <w:right w:val="single" w:sz="4" w:space="0" w:color="C00000"/>
            </w:tcBorders>
          </w:tcPr>
          <w:p w14:paraId="693A6A31" w14:textId="77777777" w:rsidR="000D26E3" w:rsidRPr="00835938" w:rsidRDefault="000D26E3" w:rsidP="00A90198">
            <w:pPr>
              <w:jc w:val="center"/>
              <w:rPr>
                <w:b/>
                <w:sz w:val="18"/>
                <w:lang w:val="en-US"/>
              </w:rPr>
            </w:pPr>
          </w:p>
        </w:tc>
        <w:tc>
          <w:tcPr>
            <w:tcW w:w="7655" w:type="dxa"/>
            <w:tcBorders>
              <w:top w:val="single" w:sz="4" w:space="0" w:color="C00000"/>
              <w:bottom w:val="single" w:sz="4" w:space="0" w:color="C00000"/>
              <w:right w:val="single" w:sz="4" w:space="0" w:color="C00000"/>
            </w:tcBorders>
          </w:tcPr>
          <w:p w14:paraId="0108C960" w14:textId="77777777" w:rsidR="00307431" w:rsidRDefault="00307431" w:rsidP="002845B0">
            <w:pPr>
              <w:rPr>
                <w:sz w:val="16"/>
                <w:szCs w:val="16"/>
                <w:lang w:val="en-US"/>
              </w:rPr>
            </w:pPr>
          </w:p>
          <w:p w14:paraId="286DC028" w14:textId="77777777" w:rsidR="00E30931" w:rsidRDefault="00E30931" w:rsidP="002845B0">
            <w:pPr>
              <w:rPr>
                <w:sz w:val="16"/>
                <w:szCs w:val="16"/>
                <w:lang w:val="en-US"/>
              </w:rPr>
            </w:pPr>
          </w:p>
          <w:p w14:paraId="3CDC193B" w14:textId="2A50135E" w:rsidR="00E02585" w:rsidRPr="00E30931" w:rsidRDefault="00ED1948" w:rsidP="00E30931">
            <w:pPr>
              <w:rPr>
                <w:sz w:val="16"/>
                <w:szCs w:val="16"/>
                <w:lang w:val="en-US"/>
              </w:rPr>
            </w:pPr>
            <w:r w:rsidRPr="00ED1948">
              <w:rPr>
                <w:noProof/>
                <w:sz w:val="16"/>
                <w:szCs w:val="16"/>
                <w:lang w:val="en-US" w:eastAsia="en-US"/>
              </w:rPr>
              <w:drawing>
                <wp:inline distT="0" distB="0" distL="0" distR="0" wp14:anchorId="7A785D36" wp14:editId="420DE67D">
                  <wp:extent cx="2790825" cy="1752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752600"/>
                          </a:xfrm>
                          <a:prstGeom prst="rect">
                            <a:avLst/>
                          </a:prstGeom>
                          <a:noFill/>
                          <a:ln>
                            <a:noFill/>
                          </a:ln>
                        </pic:spPr>
                      </pic:pic>
                    </a:graphicData>
                  </a:graphic>
                </wp:inline>
              </w:drawing>
            </w:r>
          </w:p>
          <w:p w14:paraId="5D4C3581" w14:textId="4689C47F" w:rsidR="00CB3495" w:rsidRPr="00835938" w:rsidRDefault="000D26E3" w:rsidP="004F1E7A">
            <w:pPr>
              <w:ind w:left="101"/>
              <w:rPr>
                <w:i/>
                <w:sz w:val="14"/>
                <w:szCs w:val="14"/>
                <w:lang w:val="en-US"/>
              </w:rPr>
            </w:pPr>
            <w:r w:rsidRPr="00835938">
              <w:rPr>
                <w:i/>
                <w:sz w:val="14"/>
                <w:szCs w:val="14"/>
                <w:lang w:val="en-US"/>
              </w:rPr>
              <w:t>Performance since launch vs. STOXX Europe 600 (rebased)Source</w:t>
            </w:r>
            <w:r w:rsidR="00AA14A0" w:rsidRPr="00835938">
              <w:rPr>
                <w:i/>
                <w:sz w:val="14"/>
                <w:szCs w:val="14"/>
                <w:lang w:val="en-US"/>
              </w:rPr>
              <w:t>:</w:t>
            </w:r>
            <w:r w:rsidRPr="00835938">
              <w:rPr>
                <w:i/>
                <w:sz w:val="14"/>
                <w:szCs w:val="14"/>
                <w:lang w:val="en-US"/>
              </w:rPr>
              <w:t xml:space="preserve"> Bloomberg</w:t>
            </w:r>
          </w:p>
          <w:p w14:paraId="17A5E710" w14:textId="77777777" w:rsidR="00925A45" w:rsidRPr="00835938" w:rsidRDefault="00925A45" w:rsidP="000D26E3">
            <w:pPr>
              <w:rPr>
                <w:sz w:val="16"/>
                <w:szCs w:val="16"/>
                <w:lang w:val="en-US"/>
              </w:rPr>
            </w:pPr>
          </w:p>
          <w:p w14:paraId="529E0E41" w14:textId="0E1E1FDB" w:rsidR="00C26C53" w:rsidRPr="00555AD4" w:rsidRDefault="00ED1948" w:rsidP="005562E9">
            <w:pPr>
              <w:rPr>
                <w:sz w:val="16"/>
                <w:szCs w:val="16"/>
                <w:lang w:val="en-US"/>
              </w:rPr>
            </w:pPr>
            <w:r w:rsidRPr="00ED1948">
              <w:rPr>
                <w:noProof/>
                <w:sz w:val="16"/>
                <w:szCs w:val="16"/>
                <w:lang w:val="en-US" w:eastAsia="en-US"/>
              </w:rPr>
              <w:drawing>
                <wp:inline distT="0" distB="0" distL="0" distR="0" wp14:anchorId="0DB37987" wp14:editId="5EF23D14">
                  <wp:extent cx="2790825" cy="1657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657350"/>
                          </a:xfrm>
                          <a:prstGeom prst="rect">
                            <a:avLst/>
                          </a:prstGeom>
                          <a:noFill/>
                          <a:ln>
                            <a:noFill/>
                          </a:ln>
                        </pic:spPr>
                      </pic:pic>
                    </a:graphicData>
                  </a:graphic>
                </wp:inline>
              </w:drawing>
            </w:r>
          </w:p>
          <w:p w14:paraId="1495AB5B" w14:textId="77777777" w:rsidR="00E02585" w:rsidRPr="00E02585" w:rsidRDefault="00E02585" w:rsidP="00AA14A0">
            <w:pPr>
              <w:ind w:left="101"/>
              <w:rPr>
                <w:i/>
                <w:sz w:val="12"/>
                <w:szCs w:val="12"/>
                <w:lang w:val="en-US"/>
              </w:rPr>
            </w:pPr>
          </w:p>
          <w:p w14:paraId="4CDB906F" w14:textId="77777777" w:rsidR="000D26E3" w:rsidRPr="00835938" w:rsidRDefault="00C47704" w:rsidP="00AA14A0">
            <w:pPr>
              <w:ind w:left="101"/>
              <w:rPr>
                <w:i/>
                <w:sz w:val="14"/>
                <w:szCs w:val="14"/>
                <w:lang w:val="en-US"/>
              </w:rPr>
            </w:pPr>
            <w:r w:rsidRPr="00835938">
              <w:rPr>
                <w:i/>
                <w:sz w:val="14"/>
                <w:szCs w:val="14"/>
                <w:lang w:val="en-US"/>
              </w:rPr>
              <w:t xml:space="preserve">AMC current </w:t>
            </w:r>
            <w:r w:rsidR="00F17C4E">
              <w:rPr>
                <w:i/>
                <w:sz w:val="14"/>
                <w:szCs w:val="14"/>
                <w:lang w:val="en-US"/>
              </w:rPr>
              <w:t>year</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CB3495">
            <w:pPr>
              <w:ind w:left="101"/>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44F76804" w14:textId="4513BB33" w:rsidR="0078187E" w:rsidRPr="008C1C24" w:rsidRDefault="0078187E" w:rsidP="00447E2F">
      <w:pPr>
        <w:pStyle w:val="Heading1"/>
        <w:spacing w:before="240" w:after="120" w:line="240" w:lineRule="auto"/>
        <w:rPr>
          <w:lang w:val="en-US"/>
        </w:rPr>
      </w:pPr>
      <w:r w:rsidRPr="00447E2F">
        <w:rPr>
          <w:rFonts w:asciiTheme="minorHAnsi" w:hAnsiTheme="minorHAnsi"/>
          <w:color w:val="C00000"/>
          <w:sz w:val="24"/>
          <w:lang w:val="en-US"/>
        </w:rPr>
        <w:lastRenderedPageBreak/>
        <w:t>Returns</w:t>
      </w:r>
    </w:p>
    <w:p w14:paraId="625E343F" w14:textId="77777777" w:rsidR="00A90198" w:rsidRPr="00835938" w:rsidRDefault="00A90198" w:rsidP="0085455F">
      <w:pPr>
        <w:rPr>
          <w:sz w:val="2"/>
          <w:lang w:val="en-US"/>
        </w:rPr>
      </w:pPr>
    </w:p>
    <w:tbl>
      <w:tblPr>
        <w:tblStyle w:val="TableGrid"/>
        <w:tblW w:w="6118"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144"/>
        <w:gridCol w:w="166"/>
        <w:gridCol w:w="162"/>
        <w:gridCol w:w="275"/>
        <w:gridCol w:w="177"/>
        <w:gridCol w:w="176"/>
      </w:tblGrid>
      <w:tr w:rsidR="00964879" w:rsidRPr="00835938" w14:paraId="38E7E66E" w14:textId="77777777" w:rsidTr="00B37772">
        <w:tc>
          <w:tcPr>
            <w:tcW w:w="10144" w:type="dxa"/>
          </w:tcPr>
          <w:tbl>
            <w:tblPr>
              <w:tblStyle w:val="TableGrid"/>
              <w:tblW w:w="9177" w:type="dxa"/>
              <w:tblLayout w:type="fixed"/>
              <w:tblLook w:val="04A0" w:firstRow="1" w:lastRow="0" w:firstColumn="1" w:lastColumn="0" w:noHBand="0" w:noVBand="1"/>
            </w:tblPr>
            <w:tblGrid>
              <w:gridCol w:w="646"/>
              <w:gridCol w:w="646"/>
              <w:gridCol w:w="646"/>
              <w:gridCol w:w="646"/>
              <w:gridCol w:w="646"/>
              <w:gridCol w:w="646"/>
              <w:gridCol w:w="646"/>
              <w:gridCol w:w="646"/>
              <w:gridCol w:w="646"/>
              <w:gridCol w:w="646"/>
              <w:gridCol w:w="646"/>
              <w:gridCol w:w="646"/>
              <w:gridCol w:w="646"/>
              <w:gridCol w:w="779"/>
            </w:tblGrid>
            <w:tr w:rsidR="00835938" w:rsidRPr="00016181" w14:paraId="6FF45772" w14:textId="77777777" w:rsidTr="00F27529">
              <w:trPr>
                <w:trHeight w:val="227"/>
              </w:trPr>
              <w:tc>
                <w:tcPr>
                  <w:tcW w:w="646" w:type="dxa"/>
                  <w:shd w:val="clear" w:color="auto" w:fill="D9D9D9" w:themeFill="background1" w:themeFillShade="D9"/>
                  <w:vAlign w:val="center"/>
                </w:tcPr>
                <w:p w14:paraId="53074A13"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p>
              </w:tc>
              <w:tc>
                <w:tcPr>
                  <w:tcW w:w="646" w:type="dxa"/>
                  <w:shd w:val="clear" w:color="auto" w:fill="D9D9D9" w:themeFill="background1" w:themeFillShade="D9"/>
                  <w:vAlign w:val="center"/>
                </w:tcPr>
                <w:p w14:paraId="59B19809"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Jan</w:t>
                  </w:r>
                </w:p>
              </w:tc>
              <w:tc>
                <w:tcPr>
                  <w:tcW w:w="646" w:type="dxa"/>
                  <w:shd w:val="clear" w:color="auto" w:fill="D9D9D9" w:themeFill="background1" w:themeFillShade="D9"/>
                  <w:vAlign w:val="center"/>
                </w:tcPr>
                <w:p w14:paraId="0D228902"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Feb</w:t>
                  </w:r>
                </w:p>
              </w:tc>
              <w:tc>
                <w:tcPr>
                  <w:tcW w:w="646" w:type="dxa"/>
                  <w:shd w:val="clear" w:color="auto" w:fill="D9D9D9" w:themeFill="background1" w:themeFillShade="D9"/>
                  <w:vAlign w:val="center"/>
                </w:tcPr>
                <w:p w14:paraId="00EECF3F"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Mar</w:t>
                  </w:r>
                </w:p>
              </w:tc>
              <w:tc>
                <w:tcPr>
                  <w:tcW w:w="646" w:type="dxa"/>
                  <w:shd w:val="clear" w:color="auto" w:fill="D9D9D9" w:themeFill="background1" w:themeFillShade="D9"/>
                  <w:vAlign w:val="center"/>
                </w:tcPr>
                <w:p w14:paraId="64915C3B"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Apr</w:t>
                  </w:r>
                </w:p>
              </w:tc>
              <w:tc>
                <w:tcPr>
                  <w:tcW w:w="646" w:type="dxa"/>
                  <w:shd w:val="clear" w:color="auto" w:fill="D9D9D9" w:themeFill="background1" w:themeFillShade="D9"/>
                  <w:vAlign w:val="center"/>
                </w:tcPr>
                <w:p w14:paraId="378C340E"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May</w:t>
                  </w:r>
                </w:p>
              </w:tc>
              <w:tc>
                <w:tcPr>
                  <w:tcW w:w="646" w:type="dxa"/>
                  <w:shd w:val="clear" w:color="auto" w:fill="D9D9D9" w:themeFill="background1" w:themeFillShade="D9"/>
                  <w:vAlign w:val="center"/>
                </w:tcPr>
                <w:p w14:paraId="18B5BC41"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Jun</w:t>
                  </w:r>
                </w:p>
              </w:tc>
              <w:tc>
                <w:tcPr>
                  <w:tcW w:w="646" w:type="dxa"/>
                  <w:shd w:val="clear" w:color="auto" w:fill="D9D9D9" w:themeFill="background1" w:themeFillShade="D9"/>
                  <w:vAlign w:val="center"/>
                </w:tcPr>
                <w:p w14:paraId="0F03C1D0"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Jul</w:t>
                  </w:r>
                </w:p>
              </w:tc>
              <w:tc>
                <w:tcPr>
                  <w:tcW w:w="646" w:type="dxa"/>
                  <w:shd w:val="clear" w:color="auto" w:fill="D9D9D9" w:themeFill="background1" w:themeFillShade="D9"/>
                  <w:vAlign w:val="center"/>
                </w:tcPr>
                <w:p w14:paraId="1E2F04E2"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Aug</w:t>
                  </w:r>
                </w:p>
              </w:tc>
              <w:tc>
                <w:tcPr>
                  <w:tcW w:w="646" w:type="dxa"/>
                  <w:shd w:val="clear" w:color="auto" w:fill="D9D9D9" w:themeFill="background1" w:themeFillShade="D9"/>
                  <w:vAlign w:val="center"/>
                </w:tcPr>
                <w:p w14:paraId="0CDB0E0C"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Sep</w:t>
                  </w:r>
                </w:p>
              </w:tc>
              <w:tc>
                <w:tcPr>
                  <w:tcW w:w="646" w:type="dxa"/>
                  <w:shd w:val="clear" w:color="auto" w:fill="D9D9D9" w:themeFill="background1" w:themeFillShade="D9"/>
                  <w:vAlign w:val="center"/>
                </w:tcPr>
                <w:p w14:paraId="4AB6A1D3"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Oct</w:t>
                  </w:r>
                </w:p>
              </w:tc>
              <w:tc>
                <w:tcPr>
                  <w:tcW w:w="646" w:type="dxa"/>
                  <w:shd w:val="clear" w:color="auto" w:fill="D9D9D9" w:themeFill="background1" w:themeFillShade="D9"/>
                  <w:vAlign w:val="center"/>
                </w:tcPr>
                <w:p w14:paraId="5B6AEFB8"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Nov</w:t>
                  </w:r>
                </w:p>
              </w:tc>
              <w:tc>
                <w:tcPr>
                  <w:tcW w:w="646" w:type="dxa"/>
                  <w:shd w:val="clear" w:color="auto" w:fill="D9D9D9" w:themeFill="background1" w:themeFillShade="D9"/>
                  <w:vAlign w:val="center"/>
                </w:tcPr>
                <w:p w14:paraId="307B5E68"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Dec</w:t>
                  </w:r>
                </w:p>
              </w:tc>
              <w:tc>
                <w:tcPr>
                  <w:tcW w:w="779" w:type="dxa"/>
                  <w:shd w:val="clear" w:color="auto" w:fill="D9D9D9" w:themeFill="background1" w:themeFillShade="D9"/>
                  <w:vAlign w:val="center"/>
                </w:tcPr>
                <w:p w14:paraId="07E1793A" w14:textId="77777777" w:rsidR="00835938" w:rsidRPr="001B1F78" w:rsidRDefault="00835938"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YTD</w:t>
                  </w:r>
                </w:p>
              </w:tc>
            </w:tr>
            <w:tr w:rsidR="00835938" w:rsidRPr="00016181" w14:paraId="4D3563BB" w14:textId="77777777" w:rsidTr="00F27529">
              <w:trPr>
                <w:trHeight w:val="20"/>
              </w:trPr>
              <w:tc>
                <w:tcPr>
                  <w:tcW w:w="646" w:type="dxa"/>
                  <w:shd w:val="clear" w:color="auto" w:fill="D9D9D9" w:themeFill="background1" w:themeFillShade="D9"/>
                  <w:vAlign w:val="center"/>
                </w:tcPr>
                <w:p w14:paraId="0BCBA528"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2014</w:t>
                  </w:r>
                </w:p>
              </w:tc>
              <w:tc>
                <w:tcPr>
                  <w:tcW w:w="646" w:type="dxa"/>
                  <w:vAlign w:val="center"/>
                </w:tcPr>
                <w:p w14:paraId="1E8BA302"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DF95565"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14E0373"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8E6FAB6"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502D1133"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BF9BFBF"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73DE3A4"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4C530217"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2783FB55" w14:textId="77777777" w:rsidR="00835938" w:rsidRPr="001B1F78" w:rsidRDefault="00835938"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0D4DB097"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4.62%</w:t>
                  </w:r>
                </w:p>
              </w:tc>
              <w:tc>
                <w:tcPr>
                  <w:tcW w:w="646" w:type="dxa"/>
                  <w:vAlign w:val="center"/>
                </w:tcPr>
                <w:p w14:paraId="787C59FB"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3.56%</w:t>
                  </w:r>
                </w:p>
              </w:tc>
              <w:tc>
                <w:tcPr>
                  <w:tcW w:w="646" w:type="dxa"/>
                  <w:vAlign w:val="center"/>
                </w:tcPr>
                <w:p w14:paraId="5594FD2D"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-2.36%</w:t>
                  </w:r>
                </w:p>
              </w:tc>
              <w:tc>
                <w:tcPr>
                  <w:tcW w:w="779" w:type="dxa"/>
                  <w:vAlign w:val="center"/>
                </w:tcPr>
                <w:p w14:paraId="4FC17F17" w14:textId="77777777" w:rsidR="00835938" w:rsidRPr="001B1F78" w:rsidRDefault="008E5A6A"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5.79%</w:t>
                  </w:r>
                </w:p>
              </w:tc>
            </w:tr>
            <w:tr w:rsidR="00835938" w:rsidRPr="00016181" w14:paraId="0D289F3B" w14:textId="77777777" w:rsidTr="00F27529">
              <w:trPr>
                <w:trHeight w:val="20"/>
              </w:trPr>
              <w:tc>
                <w:tcPr>
                  <w:tcW w:w="646" w:type="dxa"/>
                  <w:shd w:val="clear" w:color="auto" w:fill="D9D9D9" w:themeFill="background1" w:themeFillShade="D9"/>
                  <w:vAlign w:val="center"/>
                </w:tcPr>
                <w:p w14:paraId="143FD6A0" w14:textId="77777777" w:rsidR="00835938" w:rsidRPr="001B1F78" w:rsidRDefault="00835938" w:rsidP="00835938">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2015</w:t>
                  </w:r>
                </w:p>
              </w:tc>
              <w:tc>
                <w:tcPr>
                  <w:tcW w:w="646" w:type="dxa"/>
                  <w:vAlign w:val="center"/>
                </w:tcPr>
                <w:p w14:paraId="70197BDC"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5.76%</w:t>
                  </w:r>
                </w:p>
              </w:tc>
              <w:tc>
                <w:tcPr>
                  <w:tcW w:w="646" w:type="dxa"/>
                  <w:vAlign w:val="center"/>
                </w:tcPr>
                <w:p w14:paraId="1CB1888E"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5.48%</w:t>
                  </w:r>
                </w:p>
              </w:tc>
              <w:tc>
                <w:tcPr>
                  <w:tcW w:w="646" w:type="dxa"/>
                  <w:vAlign w:val="center"/>
                </w:tcPr>
                <w:p w14:paraId="61D07D23"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2.51%</w:t>
                  </w:r>
                </w:p>
              </w:tc>
              <w:tc>
                <w:tcPr>
                  <w:tcW w:w="646" w:type="dxa"/>
                  <w:vAlign w:val="center"/>
                </w:tcPr>
                <w:p w14:paraId="165D817B"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-1.43%</w:t>
                  </w:r>
                </w:p>
              </w:tc>
              <w:tc>
                <w:tcPr>
                  <w:tcW w:w="646" w:type="dxa"/>
                  <w:vAlign w:val="center"/>
                </w:tcPr>
                <w:p w14:paraId="1C3D1664"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0.81%</w:t>
                  </w:r>
                </w:p>
              </w:tc>
              <w:tc>
                <w:tcPr>
                  <w:tcW w:w="646" w:type="dxa"/>
                  <w:vAlign w:val="center"/>
                </w:tcPr>
                <w:p w14:paraId="6E90B179" w14:textId="77777777" w:rsidR="00835938" w:rsidRPr="001B1F78" w:rsidRDefault="008E5A6A" w:rsidP="00835938">
                  <w:pPr>
                    <w:pStyle w:val="Heading1"/>
                    <w:spacing w:before="0"/>
                    <w:jc w:val="center"/>
                    <w:outlineLvl w:val="0"/>
                    <w:rPr>
                      <w:rFonts w:asciiTheme="minorHAnsi" w:hAnsiTheme="minorHAnsi"/>
                      <w:b w:val="0"/>
                      <w:color w:val="auto"/>
                      <w:sz w:val="15"/>
                      <w:szCs w:val="15"/>
                      <w:lang w:val="en-US"/>
                    </w:rPr>
                  </w:pPr>
                  <w:r w:rsidRPr="001B1F78">
                    <w:rPr>
                      <w:rFonts w:asciiTheme="minorHAnsi" w:hAnsiTheme="minorHAnsi"/>
                      <w:b w:val="0"/>
                      <w:color w:val="auto"/>
                      <w:sz w:val="15"/>
                      <w:szCs w:val="15"/>
                      <w:lang w:val="en-US"/>
                    </w:rPr>
                    <w:t>-4.62%</w:t>
                  </w:r>
                </w:p>
              </w:tc>
              <w:tc>
                <w:tcPr>
                  <w:tcW w:w="646" w:type="dxa"/>
                  <w:vAlign w:val="center"/>
                </w:tcPr>
                <w:p w14:paraId="3FF5632C" w14:textId="77777777" w:rsidR="00835938" w:rsidRPr="001B1F78" w:rsidRDefault="002722B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4.32%</w:t>
                  </w:r>
                </w:p>
              </w:tc>
              <w:tc>
                <w:tcPr>
                  <w:tcW w:w="646" w:type="dxa"/>
                  <w:vAlign w:val="center"/>
                </w:tcPr>
                <w:p w14:paraId="43EA5E55" w14:textId="77777777" w:rsidR="00835938" w:rsidRPr="001B1F78" w:rsidRDefault="000C461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-6.23</w:t>
                  </w:r>
                  <w:r w:rsidR="00CD682A">
                    <w:rPr>
                      <w:rFonts w:asciiTheme="minorHAnsi" w:hAnsiTheme="minorHAnsi"/>
                      <w:b w:val="0"/>
                      <w:color w:val="auto"/>
                      <w:sz w:val="15"/>
                      <w:szCs w:val="15"/>
                      <w:lang w:val="en-US"/>
                    </w:rPr>
                    <w:t>%</w:t>
                  </w:r>
                </w:p>
              </w:tc>
              <w:tc>
                <w:tcPr>
                  <w:tcW w:w="646" w:type="dxa"/>
                  <w:vAlign w:val="center"/>
                </w:tcPr>
                <w:p w14:paraId="1131CA6F" w14:textId="77777777" w:rsidR="00835938" w:rsidRPr="001B1F78" w:rsidRDefault="00E70C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-3.23</w:t>
                  </w:r>
                  <w:r w:rsidR="00CD682A">
                    <w:rPr>
                      <w:rFonts w:asciiTheme="minorHAnsi" w:hAnsiTheme="minorHAnsi"/>
                      <w:b w:val="0"/>
                      <w:color w:val="auto"/>
                      <w:sz w:val="15"/>
                      <w:szCs w:val="15"/>
                      <w:lang w:val="en-US"/>
                    </w:rPr>
                    <w:t>%</w:t>
                  </w:r>
                </w:p>
              </w:tc>
              <w:tc>
                <w:tcPr>
                  <w:tcW w:w="646" w:type="dxa"/>
                  <w:vAlign w:val="center"/>
                </w:tcPr>
                <w:p w14:paraId="3E2FB8D9" w14:textId="77777777" w:rsidR="00835938" w:rsidRPr="001B1F78" w:rsidRDefault="000C7AF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6.70%</w:t>
                  </w:r>
                </w:p>
              </w:tc>
              <w:tc>
                <w:tcPr>
                  <w:tcW w:w="646" w:type="dxa"/>
                  <w:vAlign w:val="center"/>
                </w:tcPr>
                <w:p w14:paraId="47D34355" w14:textId="77777777" w:rsidR="00835938" w:rsidRPr="001B1F78" w:rsidRDefault="00FE4A1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3.93%</w:t>
                  </w:r>
                </w:p>
              </w:tc>
              <w:tc>
                <w:tcPr>
                  <w:tcW w:w="646" w:type="dxa"/>
                  <w:vAlign w:val="center"/>
                </w:tcPr>
                <w:p w14:paraId="0ECB004E" w14:textId="77777777" w:rsidR="00835938" w:rsidRPr="001B1F78" w:rsidRDefault="002C0B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-3.49</w:t>
                  </w:r>
                  <w:r w:rsidR="00187215">
                    <w:rPr>
                      <w:rFonts w:asciiTheme="minorHAnsi" w:hAnsiTheme="minorHAnsi"/>
                      <w:b w:val="0"/>
                      <w:color w:val="auto"/>
                      <w:sz w:val="15"/>
                      <w:szCs w:val="15"/>
                      <w:lang w:val="en-US"/>
                    </w:rPr>
                    <w:t>%</w:t>
                  </w:r>
                </w:p>
              </w:tc>
              <w:tc>
                <w:tcPr>
                  <w:tcW w:w="779" w:type="dxa"/>
                  <w:vAlign w:val="center"/>
                </w:tcPr>
                <w:p w14:paraId="1CD75D72" w14:textId="77777777" w:rsidR="00835938" w:rsidRPr="001B1F78" w:rsidRDefault="002C0B0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9.85</w:t>
                  </w:r>
                  <w:r w:rsidR="008E5A6A" w:rsidRPr="001B1F78">
                    <w:rPr>
                      <w:rFonts w:asciiTheme="minorHAnsi" w:hAnsiTheme="minorHAnsi"/>
                      <w:color w:val="auto"/>
                      <w:sz w:val="15"/>
                      <w:szCs w:val="15"/>
                      <w:lang w:val="en-US"/>
                    </w:rPr>
                    <w:t>%</w:t>
                  </w:r>
                </w:p>
              </w:tc>
            </w:tr>
            <w:tr w:rsidR="005C407A" w:rsidRPr="00016181" w14:paraId="21F2B732" w14:textId="77777777" w:rsidTr="00F27529">
              <w:trPr>
                <w:trHeight w:val="20"/>
              </w:trPr>
              <w:tc>
                <w:tcPr>
                  <w:tcW w:w="646" w:type="dxa"/>
                  <w:shd w:val="clear" w:color="auto" w:fill="D9D9D9" w:themeFill="background1" w:themeFillShade="D9"/>
                  <w:vAlign w:val="center"/>
                </w:tcPr>
                <w:p w14:paraId="6A71527A" w14:textId="77777777" w:rsidR="005C407A" w:rsidRPr="001B1F78" w:rsidRDefault="005C407A"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2016</w:t>
                  </w:r>
                </w:p>
              </w:tc>
              <w:tc>
                <w:tcPr>
                  <w:tcW w:w="646" w:type="dxa"/>
                  <w:vAlign w:val="center"/>
                </w:tcPr>
                <w:p w14:paraId="18760D6E" w14:textId="77777777" w:rsidR="005C407A" w:rsidRPr="001B1F78" w:rsidRDefault="005C407A"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-4.37%</w:t>
                  </w:r>
                </w:p>
              </w:tc>
              <w:tc>
                <w:tcPr>
                  <w:tcW w:w="646" w:type="dxa"/>
                  <w:vAlign w:val="center"/>
                </w:tcPr>
                <w:p w14:paraId="03EDF926" w14:textId="77777777" w:rsidR="005C407A" w:rsidRPr="001B1F78" w:rsidRDefault="005C407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-5.35%</w:t>
                  </w:r>
                </w:p>
              </w:tc>
              <w:tc>
                <w:tcPr>
                  <w:tcW w:w="646" w:type="dxa"/>
                  <w:vAlign w:val="center"/>
                </w:tcPr>
                <w:p w14:paraId="5B7BE585" w14:textId="77777777" w:rsidR="005C407A" w:rsidRPr="001B1F78" w:rsidRDefault="00584C2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0.26%</w:t>
                  </w:r>
                </w:p>
              </w:tc>
              <w:tc>
                <w:tcPr>
                  <w:tcW w:w="646" w:type="dxa"/>
                  <w:vAlign w:val="center"/>
                </w:tcPr>
                <w:p w14:paraId="3B20FA6E" w14:textId="77777777" w:rsidR="005C407A" w:rsidRPr="001B1F78" w:rsidRDefault="000E68B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0.54%</w:t>
                  </w:r>
                </w:p>
              </w:tc>
              <w:tc>
                <w:tcPr>
                  <w:tcW w:w="646" w:type="dxa"/>
                  <w:vAlign w:val="center"/>
                </w:tcPr>
                <w:p w14:paraId="7B342300" w14:textId="77777777" w:rsidR="005C407A" w:rsidRPr="001B1F78" w:rsidRDefault="0057476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3.75%</w:t>
                  </w:r>
                </w:p>
              </w:tc>
              <w:tc>
                <w:tcPr>
                  <w:tcW w:w="646" w:type="dxa"/>
                  <w:vAlign w:val="center"/>
                </w:tcPr>
                <w:p w14:paraId="1A2FBD6D" w14:textId="77777777" w:rsidR="005C407A" w:rsidRPr="001B1F78" w:rsidRDefault="0003246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-5.06%</w:t>
                  </w:r>
                </w:p>
              </w:tc>
              <w:tc>
                <w:tcPr>
                  <w:tcW w:w="646" w:type="dxa"/>
                  <w:vAlign w:val="center"/>
                </w:tcPr>
                <w:p w14:paraId="3482ACFB" w14:textId="77777777" w:rsidR="005C407A" w:rsidRDefault="00B631C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4.45%</w:t>
                  </w:r>
                </w:p>
              </w:tc>
              <w:tc>
                <w:tcPr>
                  <w:tcW w:w="646" w:type="dxa"/>
                  <w:vAlign w:val="center"/>
                </w:tcPr>
                <w:p w14:paraId="1432DD5F" w14:textId="77777777" w:rsidR="005C407A" w:rsidRDefault="002964CD"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0.02%</w:t>
                  </w:r>
                </w:p>
              </w:tc>
              <w:tc>
                <w:tcPr>
                  <w:tcW w:w="646" w:type="dxa"/>
                  <w:vAlign w:val="center"/>
                </w:tcPr>
                <w:p w14:paraId="7E634439" w14:textId="77777777" w:rsidR="005C407A" w:rsidRDefault="00146ED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0.66%</w:t>
                  </w:r>
                </w:p>
              </w:tc>
              <w:tc>
                <w:tcPr>
                  <w:tcW w:w="646" w:type="dxa"/>
                  <w:vAlign w:val="center"/>
                </w:tcPr>
                <w:p w14:paraId="413D402F" w14:textId="77777777" w:rsidR="005C407A" w:rsidRDefault="008164B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-1.58%</w:t>
                  </w:r>
                </w:p>
              </w:tc>
              <w:tc>
                <w:tcPr>
                  <w:tcW w:w="646" w:type="dxa"/>
                  <w:vAlign w:val="center"/>
                </w:tcPr>
                <w:p w14:paraId="65D4201E" w14:textId="77777777" w:rsidR="005C407A" w:rsidRDefault="00FE13B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-0.63</w:t>
                  </w:r>
                </w:p>
              </w:tc>
              <w:tc>
                <w:tcPr>
                  <w:tcW w:w="646" w:type="dxa"/>
                  <w:vAlign w:val="center"/>
                </w:tcPr>
                <w:p w14:paraId="15E0FEF6" w14:textId="77777777" w:rsidR="005C407A" w:rsidRDefault="008C1C2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5.57%</w:t>
                  </w:r>
                </w:p>
              </w:tc>
              <w:tc>
                <w:tcPr>
                  <w:tcW w:w="779" w:type="dxa"/>
                  <w:vAlign w:val="center"/>
                </w:tcPr>
                <w:p w14:paraId="73A1D198" w14:textId="77777777" w:rsidR="005C407A" w:rsidRDefault="008C1C24" w:rsidP="00FE13B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-2.00</w:t>
                  </w:r>
                  <w:r w:rsidR="00032463">
                    <w:rPr>
                      <w:rFonts w:asciiTheme="minorHAnsi" w:hAnsiTheme="minorHAnsi"/>
                      <w:color w:val="auto"/>
                      <w:sz w:val="15"/>
                      <w:szCs w:val="15"/>
                      <w:lang w:val="en-US"/>
                    </w:rPr>
                    <w:t>%</w:t>
                  </w:r>
                </w:p>
              </w:tc>
            </w:tr>
            <w:tr w:rsidR="005A2D05" w:rsidRPr="00016181" w14:paraId="3AC6E5A7" w14:textId="77777777" w:rsidTr="00F27529">
              <w:trPr>
                <w:trHeight w:val="20"/>
              </w:trPr>
              <w:tc>
                <w:tcPr>
                  <w:tcW w:w="646" w:type="dxa"/>
                  <w:shd w:val="clear" w:color="auto" w:fill="D9D9D9" w:themeFill="background1" w:themeFillShade="D9"/>
                  <w:vAlign w:val="center"/>
                </w:tcPr>
                <w:p w14:paraId="776AC01E" w14:textId="77777777" w:rsidR="005A2D05" w:rsidRDefault="005A2D0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2017</w:t>
                  </w:r>
                </w:p>
              </w:tc>
              <w:tc>
                <w:tcPr>
                  <w:tcW w:w="646" w:type="dxa"/>
                  <w:vAlign w:val="center"/>
                </w:tcPr>
                <w:p w14:paraId="55593FA0" w14:textId="77777777" w:rsidR="005A2D05" w:rsidRDefault="005A2D05"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-1.25%</w:t>
                  </w:r>
                </w:p>
              </w:tc>
              <w:tc>
                <w:tcPr>
                  <w:tcW w:w="646" w:type="dxa"/>
                  <w:vAlign w:val="center"/>
                </w:tcPr>
                <w:p w14:paraId="5BEAB95C" w14:textId="77777777" w:rsidR="005A2D05" w:rsidRDefault="009412E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3.77%</w:t>
                  </w:r>
                </w:p>
              </w:tc>
              <w:tc>
                <w:tcPr>
                  <w:tcW w:w="646" w:type="dxa"/>
                  <w:vAlign w:val="center"/>
                </w:tcPr>
                <w:p w14:paraId="56D5EF43" w14:textId="77777777" w:rsidR="005A2D05" w:rsidRDefault="00DF113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4.26%</w:t>
                  </w:r>
                </w:p>
              </w:tc>
              <w:tc>
                <w:tcPr>
                  <w:tcW w:w="646" w:type="dxa"/>
                  <w:vAlign w:val="center"/>
                </w:tcPr>
                <w:p w14:paraId="6848CC4E" w14:textId="77777777" w:rsidR="005A2D05" w:rsidRDefault="007E46D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1.98%</w:t>
                  </w:r>
                </w:p>
              </w:tc>
              <w:tc>
                <w:tcPr>
                  <w:tcW w:w="646" w:type="dxa"/>
                  <w:vAlign w:val="center"/>
                </w:tcPr>
                <w:p w14:paraId="4BD2CCEA" w14:textId="77777777" w:rsidR="005A2D05" w:rsidRDefault="004D460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1.27%</w:t>
                  </w:r>
                </w:p>
              </w:tc>
              <w:tc>
                <w:tcPr>
                  <w:tcW w:w="646" w:type="dxa"/>
                  <w:vAlign w:val="center"/>
                </w:tcPr>
                <w:p w14:paraId="710BFB28" w14:textId="77777777" w:rsidR="005A2D05" w:rsidRDefault="00F279F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-1.45%</w:t>
                  </w:r>
                </w:p>
              </w:tc>
              <w:tc>
                <w:tcPr>
                  <w:tcW w:w="646" w:type="dxa"/>
                  <w:vAlign w:val="center"/>
                </w:tcPr>
                <w:p w14:paraId="73AF18AD" w14:textId="77777777" w:rsidR="005A2D05" w:rsidRDefault="00555AD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-0.04%</w:t>
                  </w:r>
                </w:p>
              </w:tc>
              <w:tc>
                <w:tcPr>
                  <w:tcW w:w="646" w:type="dxa"/>
                  <w:vAlign w:val="center"/>
                </w:tcPr>
                <w:p w14:paraId="1F529B76" w14:textId="77777777" w:rsidR="005A2D05" w:rsidRDefault="00521A6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-0.27%</w:t>
                  </w:r>
                </w:p>
              </w:tc>
              <w:tc>
                <w:tcPr>
                  <w:tcW w:w="646" w:type="dxa"/>
                  <w:vAlign w:val="center"/>
                </w:tcPr>
                <w:p w14:paraId="3F22C606" w14:textId="77777777" w:rsidR="005A2D05" w:rsidRDefault="00B3777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1.62%</w:t>
                  </w:r>
                </w:p>
              </w:tc>
              <w:tc>
                <w:tcPr>
                  <w:tcW w:w="646" w:type="dxa"/>
                  <w:vAlign w:val="center"/>
                </w:tcPr>
                <w:p w14:paraId="3413AAF3" w14:textId="77777777" w:rsidR="005A2D05" w:rsidRDefault="007B511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1.62%</w:t>
                  </w:r>
                </w:p>
              </w:tc>
              <w:tc>
                <w:tcPr>
                  <w:tcW w:w="646" w:type="dxa"/>
                  <w:vAlign w:val="center"/>
                </w:tcPr>
                <w:p w14:paraId="7191ECCA" w14:textId="77777777" w:rsidR="005A2D05" w:rsidRDefault="007E60A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-2.31%</w:t>
                  </w:r>
                </w:p>
              </w:tc>
              <w:tc>
                <w:tcPr>
                  <w:tcW w:w="646" w:type="dxa"/>
                  <w:vAlign w:val="center"/>
                </w:tcPr>
                <w:p w14:paraId="0635EA49" w14:textId="77777777" w:rsidR="005A2D05" w:rsidRDefault="00B9036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-0.65%</w:t>
                  </w:r>
                </w:p>
              </w:tc>
              <w:tc>
                <w:tcPr>
                  <w:tcW w:w="779" w:type="dxa"/>
                  <w:vAlign w:val="center"/>
                </w:tcPr>
                <w:p w14:paraId="5D69B162" w14:textId="77777777" w:rsidR="005A2D05" w:rsidRDefault="00B90362" w:rsidP="00521A6F">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8.40%</w:t>
                  </w:r>
                </w:p>
              </w:tc>
            </w:tr>
            <w:tr w:rsidR="009A3347" w:rsidRPr="00016181" w14:paraId="36B53D39" w14:textId="77777777" w:rsidTr="00F27529">
              <w:trPr>
                <w:trHeight w:val="20"/>
              </w:trPr>
              <w:tc>
                <w:tcPr>
                  <w:tcW w:w="646" w:type="dxa"/>
                  <w:shd w:val="clear" w:color="auto" w:fill="D9D9D9" w:themeFill="background1" w:themeFillShade="D9"/>
                  <w:vAlign w:val="center"/>
                </w:tcPr>
                <w:p w14:paraId="7B650477" w14:textId="77777777" w:rsidR="009A3347" w:rsidRDefault="009A3347"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2018</w:t>
                  </w:r>
                </w:p>
              </w:tc>
              <w:tc>
                <w:tcPr>
                  <w:tcW w:w="646" w:type="dxa"/>
                  <w:vAlign w:val="center"/>
                </w:tcPr>
                <w:p w14:paraId="6D695066" w14:textId="77777777" w:rsidR="009A3347" w:rsidRDefault="009A3347"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2.61%</w:t>
                  </w:r>
                </w:p>
              </w:tc>
              <w:tc>
                <w:tcPr>
                  <w:tcW w:w="646" w:type="dxa"/>
                  <w:vAlign w:val="center"/>
                </w:tcPr>
                <w:p w14:paraId="7C3E4CF7" w14:textId="77777777" w:rsidR="009A3347" w:rsidRDefault="00423AE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-3.34%</w:t>
                  </w:r>
                </w:p>
              </w:tc>
              <w:tc>
                <w:tcPr>
                  <w:tcW w:w="646" w:type="dxa"/>
                  <w:vAlign w:val="center"/>
                </w:tcPr>
                <w:p w14:paraId="7D1B9FEE" w14:textId="77777777" w:rsidR="009A3347" w:rsidRDefault="00394C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-2.36%</w:t>
                  </w:r>
                </w:p>
              </w:tc>
              <w:tc>
                <w:tcPr>
                  <w:tcW w:w="646" w:type="dxa"/>
                  <w:vAlign w:val="center"/>
                </w:tcPr>
                <w:p w14:paraId="27D36593" w14:textId="77777777" w:rsidR="009A3347" w:rsidRDefault="00884E4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4.38%</w:t>
                  </w:r>
                </w:p>
              </w:tc>
              <w:tc>
                <w:tcPr>
                  <w:tcW w:w="646" w:type="dxa"/>
                  <w:vAlign w:val="center"/>
                </w:tcPr>
                <w:p w14:paraId="73EC7278" w14:textId="77777777" w:rsidR="009A3347" w:rsidRDefault="00D210A1"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0.90%</w:t>
                  </w:r>
                </w:p>
              </w:tc>
              <w:tc>
                <w:tcPr>
                  <w:tcW w:w="646" w:type="dxa"/>
                  <w:vAlign w:val="center"/>
                </w:tcPr>
                <w:p w14:paraId="50F05D07" w14:textId="77777777" w:rsidR="009A3347" w:rsidRDefault="00CF510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-1.26%</w:t>
                  </w:r>
                </w:p>
              </w:tc>
              <w:tc>
                <w:tcPr>
                  <w:tcW w:w="646" w:type="dxa"/>
                  <w:vAlign w:val="center"/>
                </w:tcPr>
                <w:p w14:paraId="302DC410" w14:textId="77777777" w:rsidR="009A3347" w:rsidRDefault="00034B0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2.68%</w:t>
                  </w:r>
                </w:p>
              </w:tc>
              <w:tc>
                <w:tcPr>
                  <w:tcW w:w="646" w:type="dxa"/>
                  <w:vAlign w:val="center"/>
                </w:tcPr>
                <w:p w14:paraId="66C77094" w14:textId="77777777" w:rsidR="009A3347" w:rsidRDefault="00786934"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-1.91%</w:t>
                  </w:r>
                </w:p>
              </w:tc>
              <w:tc>
                <w:tcPr>
                  <w:tcW w:w="646" w:type="dxa"/>
                  <w:vAlign w:val="center"/>
                </w:tcPr>
                <w:p w14:paraId="0C36C4A5" w14:textId="77777777" w:rsidR="009A3347" w:rsidRDefault="00E50B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-1.10%</w:t>
                  </w:r>
                </w:p>
              </w:tc>
              <w:tc>
                <w:tcPr>
                  <w:tcW w:w="646" w:type="dxa"/>
                  <w:vAlign w:val="center"/>
                </w:tcPr>
                <w:p w14:paraId="2C22B07B" w14:textId="77777777" w:rsidR="009A3347" w:rsidRDefault="0079466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-7.80</w:t>
                  </w:r>
                </w:p>
              </w:tc>
              <w:tc>
                <w:tcPr>
                  <w:tcW w:w="646" w:type="dxa"/>
                  <w:vAlign w:val="center"/>
                </w:tcPr>
                <w:p w14:paraId="49D91D8C" w14:textId="77777777" w:rsidR="009A3347" w:rsidRDefault="001F423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-2.50%</w:t>
                  </w:r>
                </w:p>
              </w:tc>
              <w:tc>
                <w:tcPr>
                  <w:tcW w:w="646" w:type="dxa"/>
                  <w:vAlign w:val="center"/>
                </w:tcPr>
                <w:p w14:paraId="294F6CE9" w14:textId="77777777" w:rsidR="009A3347" w:rsidRDefault="00F2752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-5.64%</w:t>
                  </w:r>
                </w:p>
              </w:tc>
              <w:tc>
                <w:tcPr>
                  <w:tcW w:w="779" w:type="dxa"/>
                  <w:vAlign w:val="center"/>
                </w:tcPr>
                <w:p w14:paraId="6711F372" w14:textId="77777777" w:rsidR="009A3347" w:rsidRDefault="001F4235" w:rsidP="00F27529">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w:t>
                  </w:r>
                  <w:r w:rsidR="00F27529">
                    <w:rPr>
                      <w:rFonts w:asciiTheme="minorHAnsi" w:hAnsiTheme="minorHAnsi"/>
                      <w:color w:val="auto"/>
                      <w:sz w:val="15"/>
                      <w:szCs w:val="15"/>
                      <w:lang w:val="en-US"/>
                    </w:rPr>
                    <w:t>14.90%</w:t>
                  </w:r>
                </w:p>
              </w:tc>
            </w:tr>
            <w:tr w:rsidR="00B97ADE" w:rsidRPr="00016181" w14:paraId="022FEB40" w14:textId="77777777" w:rsidTr="00F27529">
              <w:trPr>
                <w:trHeight w:val="20"/>
              </w:trPr>
              <w:tc>
                <w:tcPr>
                  <w:tcW w:w="646" w:type="dxa"/>
                  <w:shd w:val="clear" w:color="auto" w:fill="D9D9D9" w:themeFill="background1" w:themeFillShade="D9"/>
                  <w:vAlign w:val="center"/>
                </w:tcPr>
                <w:p w14:paraId="61FA8142" w14:textId="77777777" w:rsidR="00B97ADE" w:rsidRDefault="00B97ADE"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2019</w:t>
                  </w:r>
                </w:p>
              </w:tc>
              <w:tc>
                <w:tcPr>
                  <w:tcW w:w="646" w:type="dxa"/>
                  <w:vAlign w:val="center"/>
                </w:tcPr>
                <w:p w14:paraId="623D9ABD" w14:textId="77777777" w:rsidR="00B97ADE" w:rsidRDefault="00B97ADE"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5.57%</w:t>
                  </w:r>
                </w:p>
              </w:tc>
              <w:tc>
                <w:tcPr>
                  <w:tcW w:w="646" w:type="dxa"/>
                  <w:vAlign w:val="center"/>
                </w:tcPr>
                <w:p w14:paraId="706635B9" w14:textId="77777777" w:rsidR="00B97ADE" w:rsidRDefault="00F8006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4.01%</w:t>
                  </w:r>
                </w:p>
              </w:tc>
              <w:tc>
                <w:tcPr>
                  <w:tcW w:w="646" w:type="dxa"/>
                  <w:vAlign w:val="center"/>
                </w:tcPr>
                <w:p w14:paraId="1C27FE15" w14:textId="56B4C33D" w:rsidR="00B97ADE" w:rsidRDefault="00CB349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1.00%</w:t>
                  </w:r>
                </w:p>
              </w:tc>
              <w:tc>
                <w:tcPr>
                  <w:tcW w:w="646" w:type="dxa"/>
                  <w:vAlign w:val="center"/>
                </w:tcPr>
                <w:p w14:paraId="454B397B" w14:textId="0A1F5924" w:rsidR="00B97ADE" w:rsidRDefault="006B796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3.69%</w:t>
                  </w:r>
                </w:p>
              </w:tc>
              <w:tc>
                <w:tcPr>
                  <w:tcW w:w="646" w:type="dxa"/>
                  <w:vAlign w:val="center"/>
                </w:tcPr>
                <w:p w14:paraId="71E8F2F4" w14:textId="73541858" w:rsidR="00B97ADE" w:rsidRDefault="007236A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-4.25%</w:t>
                  </w:r>
                </w:p>
              </w:tc>
              <w:tc>
                <w:tcPr>
                  <w:tcW w:w="646" w:type="dxa"/>
                  <w:vAlign w:val="center"/>
                </w:tcPr>
                <w:p w14:paraId="10BD8197" w14:textId="052592E3" w:rsidR="00B97ADE" w:rsidRDefault="00FD1F8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3.18%</w:t>
                  </w:r>
                </w:p>
              </w:tc>
              <w:tc>
                <w:tcPr>
                  <w:tcW w:w="646" w:type="dxa"/>
                  <w:vAlign w:val="center"/>
                </w:tcPr>
                <w:p w14:paraId="51213693" w14:textId="0138B7D5" w:rsidR="00B97ADE" w:rsidRDefault="00123B0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0.00%</w:t>
                  </w:r>
                </w:p>
              </w:tc>
              <w:tc>
                <w:tcPr>
                  <w:tcW w:w="646" w:type="dxa"/>
                  <w:vAlign w:val="center"/>
                </w:tcPr>
                <w:p w14:paraId="02379281" w14:textId="3E2AC12B" w:rsidR="00B97ADE" w:rsidRDefault="000916D9"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-0.81%</w:t>
                  </w:r>
                </w:p>
              </w:tc>
              <w:tc>
                <w:tcPr>
                  <w:tcW w:w="646" w:type="dxa"/>
                  <w:vAlign w:val="center"/>
                </w:tcPr>
                <w:p w14:paraId="28FBFDF6" w14:textId="16AF5A18" w:rsidR="00B97ADE" w:rsidRDefault="00FB3AB6"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1.61%</w:t>
                  </w:r>
                </w:p>
              </w:tc>
              <w:tc>
                <w:tcPr>
                  <w:tcW w:w="646" w:type="dxa"/>
                  <w:vAlign w:val="center"/>
                </w:tcPr>
                <w:p w14:paraId="664A8874" w14:textId="06E24F8B"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-1.57%</w:t>
                  </w:r>
                </w:p>
              </w:tc>
              <w:tc>
                <w:tcPr>
                  <w:tcW w:w="646" w:type="dxa"/>
                  <w:vAlign w:val="center"/>
                </w:tcPr>
                <w:p w14:paraId="5461C2ED" w14:textId="33122EE9"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0.00%</w:t>
                  </w:r>
                </w:p>
              </w:tc>
              <w:tc>
                <w:tcPr>
                  <w:tcW w:w="646" w:type="dxa"/>
                  <w:vAlign w:val="center"/>
                </w:tcPr>
                <w:p w14:paraId="457FD072" w14:textId="47D779D1" w:rsidR="00B97ADE" w:rsidRDefault="008773D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0.09%</w:t>
                  </w:r>
                </w:p>
              </w:tc>
              <w:tc>
                <w:tcPr>
                  <w:tcW w:w="779" w:type="dxa"/>
                  <w:vAlign w:val="center"/>
                </w:tcPr>
                <w:p w14:paraId="536C70CB" w14:textId="3E06CAF3" w:rsidR="00B97ADE" w:rsidRDefault="00FB3AB6" w:rsidP="00F27529">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14.50%</w:t>
                  </w:r>
                </w:p>
              </w:tc>
            </w:tr>
            <w:tr w:rsidR="00334DAD" w:rsidRPr="00016181" w14:paraId="626810A3" w14:textId="77777777" w:rsidTr="00F27529">
              <w:trPr>
                <w:trHeight w:val="20"/>
              </w:trPr>
              <w:tc>
                <w:tcPr>
                  <w:tcW w:w="646" w:type="dxa"/>
                  <w:shd w:val="clear" w:color="auto" w:fill="D9D9D9" w:themeFill="background1" w:themeFillShade="D9"/>
                  <w:vAlign w:val="center"/>
                </w:tcPr>
                <w:p w14:paraId="61EAC482" w14:textId="423C326B" w:rsidR="00334DAD" w:rsidRDefault="00A14E8B"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2020</w:t>
                  </w:r>
                </w:p>
              </w:tc>
              <w:tc>
                <w:tcPr>
                  <w:tcW w:w="646" w:type="dxa"/>
                  <w:vAlign w:val="center"/>
                </w:tcPr>
                <w:p w14:paraId="0681956F" w14:textId="35A64B46" w:rsidR="00334DAD" w:rsidRDefault="00A14E8B" w:rsidP="005C407A">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-1.77%</w:t>
                  </w:r>
                </w:p>
              </w:tc>
              <w:tc>
                <w:tcPr>
                  <w:tcW w:w="646" w:type="dxa"/>
                  <w:vAlign w:val="center"/>
                </w:tcPr>
                <w:p w14:paraId="344E6D83" w14:textId="05FBA546" w:rsidR="00334DAD" w:rsidRDefault="00737F08" w:rsidP="006D2AF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6D2AFC">
                    <w:rPr>
                      <w:rFonts w:asciiTheme="minorHAnsi" w:hAnsiTheme="minorHAnsi"/>
                      <w:b w:val="0"/>
                      <w:color w:val="auto"/>
                      <w:sz w:val="15"/>
                      <w:szCs w:val="15"/>
                      <w:lang w:val="en-US"/>
                    </w:rPr>
                    <w:t>6.11</w:t>
                  </w:r>
                  <w:r>
                    <w:rPr>
                      <w:rFonts w:asciiTheme="minorHAnsi" w:hAnsiTheme="minorHAnsi"/>
                      <w:b w:val="0"/>
                      <w:color w:val="auto"/>
                      <w:sz w:val="15"/>
                      <w:szCs w:val="15"/>
                      <w:lang w:val="en-US"/>
                    </w:rPr>
                    <w:t>%</w:t>
                  </w:r>
                </w:p>
              </w:tc>
              <w:tc>
                <w:tcPr>
                  <w:tcW w:w="646" w:type="dxa"/>
                  <w:vAlign w:val="center"/>
                </w:tcPr>
                <w:p w14:paraId="3FCBF82E" w14:textId="4A31259A" w:rsidR="00334DAD" w:rsidRDefault="0045045C" w:rsidP="0045045C">
                  <w:pPr>
                    <w:pStyle w:val="Heading1"/>
                    <w:spacing w:before="0"/>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-11.8%</w:t>
                  </w:r>
                </w:p>
              </w:tc>
              <w:tc>
                <w:tcPr>
                  <w:tcW w:w="646" w:type="dxa"/>
                  <w:vAlign w:val="center"/>
                </w:tcPr>
                <w:p w14:paraId="0EFCE264" w14:textId="135AC025" w:rsidR="00334DAD" w:rsidRDefault="005C51E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5.32%</w:t>
                  </w:r>
                </w:p>
              </w:tc>
              <w:tc>
                <w:tcPr>
                  <w:tcW w:w="646" w:type="dxa"/>
                  <w:vAlign w:val="center"/>
                </w:tcPr>
                <w:p w14:paraId="1685DC77"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2867754F"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240C1465"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E771F1C"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3AF16CC2"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5AE6246B"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4A1003D3"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636F7F28" w14:textId="77777777" w:rsidR="00334DAD" w:rsidRDefault="00334DAD" w:rsidP="00835938">
                  <w:pPr>
                    <w:pStyle w:val="Heading1"/>
                    <w:spacing w:before="0"/>
                    <w:jc w:val="center"/>
                    <w:outlineLvl w:val="0"/>
                    <w:rPr>
                      <w:rFonts w:asciiTheme="minorHAnsi" w:hAnsiTheme="minorHAnsi"/>
                      <w:b w:val="0"/>
                      <w:color w:val="auto"/>
                      <w:sz w:val="15"/>
                      <w:szCs w:val="15"/>
                      <w:lang w:val="en-US"/>
                    </w:rPr>
                  </w:pPr>
                </w:p>
              </w:tc>
              <w:tc>
                <w:tcPr>
                  <w:tcW w:w="779" w:type="dxa"/>
                  <w:vAlign w:val="center"/>
                </w:tcPr>
                <w:p w14:paraId="476E02A3" w14:textId="293EC37B" w:rsidR="00334DAD" w:rsidRDefault="0045045C" w:rsidP="006F0483">
                  <w:pPr>
                    <w:pStyle w:val="Heading1"/>
                    <w:spacing w:before="0"/>
                    <w:ind w:left="1416" w:hanging="1416"/>
                    <w:jc w:val="center"/>
                    <w:outlineLvl w:val="0"/>
                    <w:rPr>
                      <w:rFonts w:asciiTheme="minorHAnsi" w:hAnsiTheme="minorHAnsi"/>
                      <w:color w:val="auto"/>
                      <w:sz w:val="15"/>
                      <w:szCs w:val="15"/>
                      <w:lang w:val="en-US"/>
                    </w:rPr>
                  </w:pPr>
                  <w:r>
                    <w:rPr>
                      <w:rFonts w:asciiTheme="minorHAnsi" w:hAnsiTheme="minorHAnsi"/>
                      <w:color w:val="auto"/>
                      <w:sz w:val="15"/>
                      <w:szCs w:val="15"/>
                      <w:lang w:val="en-US"/>
                    </w:rPr>
                    <w:t>-1</w:t>
                  </w:r>
                  <w:r w:rsidR="006F0483">
                    <w:rPr>
                      <w:rFonts w:asciiTheme="minorHAnsi" w:hAnsiTheme="minorHAnsi"/>
                      <w:color w:val="auto"/>
                      <w:sz w:val="15"/>
                      <w:szCs w:val="15"/>
                      <w:lang w:val="en-US"/>
                    </w:rPr>
                    <w:t>4</w:t>
                  </w:r>
                  <w:r w:rsidR="00737F08">
                    <w:rPr>
                      <w:rFonts w:asciiTheme="minorHAnsi" w:hAnsiTheme="minorHAnsi"/>
                      <w:color w:val="auto"/>
                      <w:sz w:val="15"/>
                      <w:szCs w:val="15"/>
                      <w:lang w:val="en-US"/>
                    </w:rPr>
                    <w:t>.</w:t>
                  </w:r>
                  <w:r w:rsidR="008C0330">
                    <w:rPr>
                      <w:rFonts w:asciiTheme="minorHAnsi" w:hAnsiTheme="minorHAnsi"/>
                      <w:color w:val="auto"/>
                      <w:sz w:val="15"/>
                      <w:szCs w:val="15"/>
                      <w:lang w:val="en-US"/>
                    </w:rPr>
                    <w:t>35</w:t>
                  </w:r>
                  <w:r w:rsidR="00A14E8B">
                    <w:rPr>
                      <w:rFonts w:asciiTheme="minorHAnsi" w:hAnsiTheme="minorHAnsi"/>
                      <w:color w:val="auto"/>
                      <w:sz w:val="15"/>
                      <w:szCs w:val="15"/>
                      <w:lang w:val="en-US"/>
                    </w:rPr>
                    <w:t>%</w:t>
                  </w:r>
                </w:p>
              </w:tc>
            </w:tr>
          </w:tbl>
          <w:p w14:paraId="03609F04" w14:textId="77777777" w:rsidR="0086292E" w:rsidRDefault="001B1F78" w:rsidP="002B5811">
            <w:pPr>
              <w:pStyle w:val="Heading1"/>
              <w:spacing w:before="240" w:after="120"/>
              <w:outlineLvl w:val="0"/>
              <w:rPr>
                <w:rFonts w:asciiTheme="minorHAnsi" w:hAnsiTheme="minorHAnsi"/>
                <w:color w:val="C00000"/>
                <w:sz w:val="24"/>
                <w:lang w:val="en-US"/>
              </w:rPr>
            </w:pPr>
            <w:r>
              <w:rPr>
                <w:rFonts w:asciiTheme="minorHAnsi" w:hAnsiTheme="minorHAnsi"/>
                <w:color w:val="C00000"/>
                <w:sz w:val="24"/>
                <w:lang w:val="en-US"/>
              </w:rPr>
              <w:t>Figures &amp;</w:t>
            </w:r>
            <w:r w:rsidR="0086292E" w:rsidRPr="00835938">
              <w:rPr>
                <w:rFonts w:asciiTheme="minorHAnsi" w:hAnsiTheme="minorHAnsi"/>
                <w:color w:val="C00000"/>
                <w:sz w:val="24"/>
                <w:lang w:val="en-US"/>
              </w:rPr>
              <w:t xml:space="preserve"> Ratios</w:t>
            </w:r>
          </w:p>
          <w:p w14:paraId="012D998C" w14:textId="77777777" w:rsidR="006D2AFC" w:rsidRDefault="006D2AFC" w:rsidP="006D2AFC">
            <w:pPr>
              <w:rPr>
                <w:lang w:val="en-US"/>
              </w:rPr>
            </w:pPr>
          </w:p>
          <w:p w14:paraId="4D685278" w14:textId="28D8C1F0" w:rsidR="006D2AFC" w:rsidRPr="006D2AFC" w:rsidRDefault="00ED1948" w:rsidP="006D2AFC">
            <w:pPr>
              <w:rPr>
                <w:lang w:val="en-US"/>
              </w:rPr>
            </w:pPr>
            <w:r w:rsidRPr="00ED1948">
              <w:rPr>
                <w:noProof/>
                <w:lang w:val="en-US" w:eastAsia="en-US"/>
              </w:rPr>
              <w:drawing>
                <wp:inline distT="0" distB="0" distL="0" distR="0" wp14:anchorId="3D865AA9" wp14:editId="0F9A2DB9">
                  <wp:extent cx="63531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3175" cy="1714500"/>
                          </a:xfrm>
                          <a:prstGeom prst="rect">
                            <a:avLst/>
                          </a:prstGeom>
                          <a:noFill/>
                          <a:ln>
                            <a:noFill/>
                          </a:ln>
                        </pic:spPr>
                      </pic:pic>
                    </a:graphicData>
                  </a:graphic>
                </wp:inline>
              </w:drawing>
            </w:r>
          </w:p>
          <w:p w14:paraId="2CC108BD" w14:textId="77AABE44" w:rsidR="00B97ADE" w:rsidRPr="00340BB1" w:rsidRDefault="005C6253" w:rsidP="002964CD">
            <w:pPr>
              <w:rPr>
                <w:lang w:val="en-US"/>
              </w:rPr>
            </w:pPr>
            <w:r w:rsidRPr="00A97802">
              <w:rPr>
                <w:noProof/>
                <w:lang w:val="en-US" w:eastAsia="de-CH"/>
              </w:rPr>
              <w:t xml:space="preserve"> </w:t>
            </w:r>
            <w:r w:rsidR="00871ECE" w:rsidRPr="006B7967">
              <w:rPr>
                <w:noProof/>
                <w:lang w:val="en-US" w:eastAsia="de-CH"/>
              </w:rPr>
              <w:t xml:space="preserve"> </w:t>
            </w:r>
          </w:p>
        </w:tc>
        <w:tc>
          <w:tcPr>
            <w:tcW w:w="166" w:type="dxa"/>
          </w:tcPr>
          <w:p w14:paraId="0479128C"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162" w:type="dxa"/>
          </w:tcPr>
          <w:p w14:paraId="33C92B90"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275" w:type="dxa"/>
          </w:tcPr>
          <w:p w14:paraId="4798F2F7" w14:textId="77777777" w:rsidR="00964879" w:rsidRPr="00835938" w:rsidRDefault="00964879" w:rsidP="00964879">
            <w:pPr>
              <w:rPr>
                <w:lang w:val="en-US"/>
              </w:rPr>
            </w:pPr>
          </w:p>
        </w:tc>
        <w:tc>
          <w:tcPr>
            <w:tcW w:w="177" w:type="dxa"/>
          </w:tcPr>
          <w:p w14:paraId="51ADC00A"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c>
          <w:tcPr>
            <w:tcW w:w="176" w:type="dxa"/>
          </w:tcPr>
          <w:p w14:paraId="11AD1AC0" w14:textId="77777777" w:rsidR="0086292E" w:rsidRPr="00835938" w:rsidRDefault="0086292E" w:rsidP="002B5811">
            <w:pPr>
              <w:pStyle w:val="Heading1"/>
              <w:spacing w:before="240" w:after="120"/>
              <w:outlineLvl w:val="0"/>
              <w:rPr>
                <w:rFonts w:asciiTheme="minorHAnsi" w:hAnsiTheme="minorHAnsi"/>
                <w:color w:val="C00000"/>
                <w:sz w:val="24"/>
                <w:lang w:val="en-US"/>
              </w:rPr>
            </w:pPr>
          </w:p>
        </w:tc>
      </w:tr>
    </w:tbl>
    <w:p w14:paraId="337FEA05" w14:textId="212A0E85" w:rsidR="00340BB1" w:rsidRDefault="00094ED5" w:rsidP="00340BB1">
      <w:pPr>
        <w:jc w:val="center"/>
        <w:rPr>
          <w:lang w:val="en-US"/>
        </w:rPr>
      </w:pPr>
      <w:r w:rsidRPr="00094ED5">
        <w:rPr>
          <w:noProof/>
          <w:lang w:val="en-US" w:eastAsia="en-US"/>
        </w:rPr>
        <w:drawing>
          <wp:inline distT="0" distB="0" distL="0" distR="0" wp14:anchorId="5D31A214" wp14:editId="3AE6444E">
            <wp:extent cx="3101008" cy="2322173"/>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5214" cy="2332811"/>
                    </a:xfrm>
                    <a:prstGeom prst="rect">
                      <a:avLst/>
                    </a:prstGeom>
                    <a:noFill/>
                    <a:ln>
                      <a:noFill/>
                    </a:ln>
                  </pic:spPr>
                </pic:pic>
              </a:graphicData>
            </a:graphic>
          </wp:inline>
        </w:drawing>
      </w:r>
    </w:p>
    <w:p w14:paraId="4D419669" w14:textId="1592813C" w:rsidR="003D230E" w:rsidRDefault="00C02F2C" w:rsidP="00340BB1">
      <w:pPr>
        <w:jc w:val="center"/>
        <w:rPr>
          <w:lang w:val="en-US"/>
        </w:rPr>
      </w:pPr>
      <w:r w:rsidRPr="00C02F2C">
        <w:t xml:space="preserve"> </w:t>
      </w:r>
    </w:p>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644"/>
        <w:gridCol w:w="4644"/>
      </w:tblGrid>
      <w:tr w:rsidR="00331F6A" w:rsidRPr="00835938" w14:paraId="050330B6" w14:textId="77777777" w:rsidTr="00BC3CCC">
        <w:trPr>
          <w:trHeight w:val="1657"/>
        </w:trPr>
        <w:tc>
          <w:tcPr>
            <w:tcW w:w="4644"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BBB8CC7"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644" w:type="dxa"/>
            <w:tcBorders>
              <w:top w:val="nil"/>
              <w:left w:val="nil"/>
              <w:bottom w:val="nil"/>
              <w:right w:val="nil"/>
            </w:tcBorders>
            <w:shd w:val="clear" w:color="auto" w:fill="F2F2F2" w:themeFill="background1" w:themeFillShade="F2"/>
          </w:tcPr>
          <w:p w14:paraId="2BA4933C" w14:textId="77777777" w:rsidR="008E3503" w:rsidRPr="00835938" w:rsidRDefault="008E3503" w:rsidP="00C013B6">
            <w:pPr>
              <w:rPr>
                <w:sz w:val="10"/>
                <w:lang w:val="en-US"/>
              </w:rPr>
            </w:pP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bookmarkStart w:id="0" w:name="_GoBack"/>
            <w:bookmarkEnd w:id="0"/>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7777777" w:rsidR="00331F6A" w:rsidRPr="00835938" w:rsidRDefault="00331F6A" w:rsidP="00C013B6">
            <w:pPr>
              <w:rPr>
                <w:sz w:val="20"/>
                <w:lang w:val="en-US"/>
              </w:rPr>
            </w:pPr>
          </w:p>
        </w:tc>
      </w:tr>
      <w:tr w:rsidR="00331F6A" w:rsidRPr="00835938" w14:paraId="08C4EAF3" w14:textId="77777777" w:rsidTr="00BC3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644" w:type="dxa"/>
            <w:tcBorders>
              <w:top w:val="nil"/>
              <w:left w:val="nil"/>
              <w:bottom w:val="nil"/>
              <w:right w:val="nil"/>
            </w:tcBorders>
            <w:shd w:val="clear" w:color="auto" w:fill="F2F2F2" w:themeFill="background1" w:themeFillShade="F2"/>
          </w:tcPr>
          <w:p w14:paraId="66705955" w14:textId="77777777" w:rsidR="00331F6A" w:rsidRPr="00835938" w:rsidRDefault="00331F6A" w:rsidP="00C013B6">
            <w:pPr>
              <w:rPr>
                <w:sz w:val="10"/>
                <w:lang w:val="en-US"/>
              </w:rPr>
            </w:pPr>
          </w:p>
        </w:tc>
        <w:tc>
          <w:tcPr>
            <w:tcW w:w="4644" w:type="dxa"/>
            <w:tcBorders>
              <w:top w:val="nil"/>
              <w:left w:val="nil"/>
              <w:bottom w:val="nil"/>
              <w:right w:val="nil"/>
            </w:tcBorders>
            <w:shd w:val="clear" w:color="auto" w:fill="F2F2F2" w:themeFill="background1" w:themeFillShade="F2"/>
          </w:tcPr>
          <w:p w14:paraId="7F1FF9F3" w14:textId="77777777" w:rsidR="00331F6A" w:rsidRPr="00835938" w:rsidRDefault="00331F6A" w:rsidP="00C013B6">
            <w:pPr>
              <w:rPr>
                <w:sz w:val="10"/>
                <w:lang w:val="en-US"/>
              </w:rPr>
            </w:pPr>
          </w:p>
        </w:tc>
      </w:tr>
    </w:tbl>
    <w:p w14:paraId="05760F93" w14:textId="77777777" w:rsidR="00151D41" w:rsidRPr="00835938" w:rsidRDefault="00151D41" w:rsidP="00340BB1">
      <w:pPr>
        <w:rPr>
          <w:lang w:val="en-US"/>
        </w:rPr>
      </w:pPr>
    </w:p>
    <w:sectPr w:rsidR="00151D41" w:rsidRPr="00835938" w:rsidSect="00821A8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BEC96" w14:textId="77777777" w:rsidR="00B44F4A" w:rsidRDefault="00B44F4A" w:rsidP="00437B29">
      <w:pPr>
        <w:spacing w:after="0" w:line="240" w:lineRule="auto"/>
      </w:pPr>
      <w:r>
        <w:separator/>
      </w:r>
    </w:p>
  </w:endnote>
  <w:endnote w:type="continuationSeparator" w:id="0">
    <w:p w14:paraId="2F1D9EB3" w14:textId="77777777" w:rsidR="00B44F4A" w:rsidRDefault="00B44F4A"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DE1B"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6"/>
        <w:lang w:val="en-US"/>
      </w:rPr>
    </w:pPr>
    <w:r w:rsidRPr="001B23B6">
      <w:rPr>
        <w:b/>
        <w:sz w:val="16"/>
        <w:u w:val="single"/>
        <w:lang w:val="en-US"/>
      </w:rPr>
      <w:t>Legal Disclaimer:</w:t>
    </w:r>
    <w:r w:rsidRPr="001B23B6">
      <w:rPr>
        <w:sz w:val="16"/>
        <w:lang w:val="en-US"/>
      </w:rPr>
      <w:t xml:space="preserve"> </w:t>
    </w:r>
  </w:p>
  <w:p w14:paraId="307E6416"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p>
  <w:p w14:paraId="7BD27542"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r w:rsidRPr="00760D1A">
      <w:rPr>
        <w:sz w:val="14"/>
        <w:lang w:val="en-US"/>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53E959F0" w14:textId="77777777"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sz w:val="14"/>
        <w:lang w:val="en-US"/>
      </w:rPr>
    </w:pPr>
  </w:p>
  <w:p w14:paraId="3A2C3ADB" w14:textId="46255953" w:rsidR="00B44F4A" w:rsidRDefault="00B44F4A"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b/>
        <w:sz w:val="16"/>
        <w:lang w:val="en-US"/>
      </w:rPr>
    </w:pPr>
    <w:r w:rsidRPr="001B23B6">
      <w:rPr>
        <w:b/>
        <w:sz w:val="16"/>
        <w:lang w:val="en-US"/>
      </w:rPr>
      <w:t xml:space="preserve">Aspermont Capital AG, </w:t>
    </w:r>
    <w:proofErr w:type="spellStart"/>
    <w:r w:rsidRPr="001B23B6">
      <w:rPr>
        <w:b/>
        <w:sz w:val="16"/>
        <w:lang w:val="en-US"/>
      </w:rPr>
      <w:t>Loewenstrasse</w:t>
    </w:r>
    <w:proofErr w:type="spellEnd"/>
    <w:r w:rsidRPr="001B23B6">
      <w:rPr>
        <w:b/>
        <w:sz w:val="16"/>
        <w:lang w:val="en-US"/>
      </w:rPr>
      <w:t xml:space="preserve"> 66, CH-8001 Zurich - +41-43 888 66 44, </w:t>
    </w:r>
    <w:hyperlink r:id="rId1" w:history="1">
      <w:r w:rsidRPr="001B23B6">
        <w:rPr>
          <w:rStyle w:val="Hyperlink"/>
          <w:color w:val="auto"/>
          <w:sz w:val="16"/>
          <w:lang w:val="en-US"/>
        </w:rPr>
        <w:t>info@ascap.ch</w:t>
      </w:r>
    </w:hyperlink>
    <w:r w:rsidRPr="001B23B6">
      <w:rPr>
        <w:b/>
        <w:sz w:val="16"/>
        <w:lang w:val="en-US"/>
      </w:rPr>
      <w:t>, www.aspermontcapital.ch</w:t>
    </w:r>
  </w:p>
  <w:p w14:paraId="4DDAC843" w14:textId="77777777" w:rsidR="00A9207C" w:rsidRPr="001B23B6" w:rsidRDefault="00A9207C" w:rsidP="00A336CC">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rPr>
        <w:b/>
        <w:sz w:val="16"/>
        <w:lang w:val="en-US"/>
      </w:rPr>
    </w:pPr>
    <w:r w:rsidRPr="00A9207C">
      <w:rPr>
        <w:b/>
        <w:sz w:val="16"/>
        <w:lang w:val="en-US"/>
      </w:rPr>
      <w:t>Copyright © 2018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587A1" w14:textId="77777777" w:rsidR="00B44F4A" w:rsidRDefault="00B44F4A" w:rsidP="00437B29">
      <w:pPr>
        <w:spacing w:after="0" w:line="240" w:lineRule="auto"/>
      </w:pPr>
      <w:r>
        <w:separator/>
      </w:r>
    </w:p>
  </w:footnote>
  <w:footnote w:type="continuationSeparator" w:id="0">
    <w:p w14:paraId="5BF89687" w14:textId="77777777" w:rsidR="00B44F4A" w:rsidRDefault="00B44F4A" w:rsidP="0043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90B1" w14:textId="77777777" w:rsidR="00B44F4A" w:rsidRDefault="00B44F4A">
    <w:pPr>
      <w:pStyle w:val="Header"/>
    </w:pPr>
    <w:r>
      <w:tab/>
    </w:r>
    <w:r>
      <w:tab/>
    </w:r>
    <w:r w:rsidRPr="00437B29">
      <w:rPr>
        <w:noProof/>
        <w:lang w:val="en-US" w:eastAsia="en-US"/>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9"/>
    <w:rsid w:val="00001D80"/>
    <w:rsid w:val="00003EED"/>
    <w:rsid w:val="00004613"/>
    <w:rsid w:val="00007D23"/>
    <w:rsid w:val="00007DDD"/>
    <w:rsid w:val="000110D3"/>
    <w:rsid w:val="00013FFF"/>
    <w:rsid w:val="00014A55"/>
    <w:rsid w:val="00016181"/>
    <w:rsid w:val="0001747D"/>
    <w:rsid w:val="000225C9"/>
    <w:rsid w:val="00022CE4"/>
    <w:rsid w:val="00024A46"/>
    <w:rsid w:val="00024F63"/>
    <w:rsid w:val="00024F7A"/>
    <w:rsid w:val="00030791"/>
    <w:rsid w:val="00032463"/>
    <w:rsid w:val="00034B08"/>
    <w:rsid w:val="00034E0F"/>
    <w:rsid w:val="000369ED"/>
    <w:rsid w:val="00036EFD"/>
    <w:rsid w:val="00054942"/>
    <w:rsid w:val="000559CF"/>
    <w:rsid w:val="00056994"/>
    <w:rsid w:val="0005783C"/>
    <w:rsid w:val="000609BF"/>
    <w:rsid w:val="00063AF1"/>
    <w:rsid w:val="00072DB9"/>
    <w:rsid w:val="00080EF4"/>
    <w:rsid w:val="000817D6"/>
    <w:rsid w:val="00082AAD"/>
    <w:rsid w:val="00082DC9"/>
    <w:rsid w:val="0008471A"/>
    <w:rsid w:val="000864EB"/>
    <w:rsid w:val="00091112"/>
    <w:rsid w:val="000916D9"/>
    <w:rsid w:val="0009445B"/>
    <w:rsid w:val="00094ED5"/>
    <w:rsid w:val="000957C8"/>
    <w:rsid w:val="000962E0"/>
    <w:rsid w:val="0009796D"/>
    <w:rsid w:val="000A0072"/>
    <w:rsid w:val="000A1431"/>
    <w:rsid w:val="000A2AE4"/>
    <w:rsid w:val="000A4D43"/>
    <w:rsid w:val="000A696E"/>
    <w:rsid w:val="000A7FDE"/>
    <w:rsid w:val="000B25A8"/>
    <w:rsid w:val="000B3D39"/>
    <w:rsid w:val="000B4637"/>
    <w:rsid w:val="000B6C80"/>
    <w:rsid w:val="000B74C9"/>
    <w:rsid w:val="000B7B5D"/>
    <w:rsid w:val="000C4616"/>
    <w:rsid w:val="000C6B56"/>
    <w:rsid w:val="000C7220"/>
    <w:rsid w:val="000C7AF6"/>
    <w:rsid w:val="000D26E3"/>
    <w:rsid w:val="000D2798"/>
    <w:rsid w:val="000D3472"/>
    <w:rsid w:val="000D53B3"/>
    <w:rsid w:val="000D6637"/>
    <w:rsid w:val="000E015F"/>
    <w:rsid w:val="000E4FF8"/>
    <w:rsid w:val="000E68BE"/>
    <w:rsid w:val="000F108B"/>
    <w:rsid w:val="000F1AD3"/>
    <w:rsid w:val="000F4E9F"/>
    <w:rsid w:val="001069EC"/>
    <w:rsid w:val="001120DC"/>
    <w:rsid w:val="001124E0"/>
    <w:rsid w:val="00114584"/>
    <w:rsid w:val="00116792"/>
    <w:rsid w:val="00121E8B"/>
    <w:rsid w:val="0012204D"/>
    <w:rsid w:val="00123B0B"/>
    <w:rsid w:val="00125168"/>
    <w:rsid w:val="001258AF"/>
    <w:rsid w:val="00130C1C"/>
    <w:rsid w:val="001312FC"/>
    <w:rsid w:val="00132E83"/>
    <w:rsid w:val="00135C68"/>
    <w:rsid w:val="001408DB"/>
    <w:rsid w:val="00140C4D"/>
    <w:rsid w:val="00146EDB"/>
    <w:rsid w:val="00150331"/>
    <w:rsid w:val="00150469"/>
    <w:rsid w:val="00151D41"/>
    <w:rsid w:val="001536C9"/>
    <w:rsid w:val="00155076"/>
    <w:rsid w:val="0015626D"/>
    <w:rsid w:val="00173A63"/>
    <w:rsid w:val="00181B45"/>
    <w:rsid w:val="00181BB8"/>
    <w:rsid w:val="00183C78"/>
    <w:rsid w:val="00184ED7"/>
    <w:rsid w:val="00187215"/>
    <w:rsid w:val="00191855"/>
    <w:rsid w:val="001927EC"/>
    <w:rsid w:val="00196731"/>
    <w:rsid w:val="001A1D0D"/>
    <w:rsid w:val="001A3354"/>
    <w:rsid w:val="001A6557"/>
    <w:rsid w:val="001B024B"/>
    <w:rsid w:val="001B1F78"/>
    <w:rsid w:val="001B66BB"/>
    <w:rsid w:val="001C204E"/>
    <w:rsid w:val="001C600B"/>
    <w:rsid w:val="001C61C7"/>
    <w:rsid w:val="001C63AE"/>
    <w:rsid w:val="001D40F2"/>
    <w:rsid w:val="001E0BCF"/>
    <w:rsid w:val="001E3EC3"/>
    <w:rsid w:val="001E7B4D"/>
    <w:rsid w:val="001E7B84"/>
    <w:rsid w:val="001F0D5E"/>
    <w:rsid w:val="001F30DB"/>
    <w:rsid w:val="001F37C1"/>
    <w:rsid w:val="001F4235"/>
    <w:rsid w:val="00204FB6"/>
    <w:rsid w:val="00205228"/>
    <w:rsid w:val="002100F1"/>
    <w:rsid w:val="002124A1"/>
    <w:rsid w:val="002138C5"/>
    <w:rsid w:val="00213C82"/>
    <w:rsid w:val="002166D2"/>
    <w:rsid w:val="00235E33"/>
    <w:rsid w:val="002363C5"/>
    <w:rsid w:val="00236AD2"/>
    <w:rsid w:val="00240775"/>
    <w:rsid w:val="00242F21"/>
    <w:rsid w:val="00243D2E"/>
    <w:rsid w:val="00243F7E"/>
    <w:rsid w:val="00245402"/>
    <w:rsid w:val="00251AEB"/>
    <w:rsid w:val="0025517A"/>
    <w:rsid w:val="00255AC1"/>
    <w:rsid w:val="002570C7"/>
    <w:rsid w:val="00260610"/>
    <w:rsid w:val="00266B55"/>
    <w:rsid w:val="002708BE"/>
    <w:rsid w:val="002722B0"/>
    <w:rsid w:val="002733EC"/>
    <w:rsid w:val="00273CDA"/>
    <w:rsid w:val="00281A40"/>
    <w:rsid w:val="00281F11"/>
    <w:rsid w:val="002845B0"/>
    <w:rsid w:val="00287689"/>
    <w:rsid w:val="002917E5"/>
    <w:rsid w:val="002923E3"/>
    <w:rsid w:val="002964CD"/>
    <w:rsid w:val="002978D8"/>
    <w:rsid w:val="002A2476"/>
    <w:rsid w:val="002A4819"/>
    <w:rsid w:val="002A4C48"/>
    <w:rsid w:val="002B0F66"/>
    <w:rsid w:val="002B15F6"/>
    <w:rsid w:val="002B5811"/>
    <w:rsid w:val="002B7346"/>
    <w:rsid w:val="002B7979"/>
    <w:rsid w:val="002C0B05"/>
    <w:rsid w:val="002C100B"/>
    <w:rsid w:val="002C6793"/>
    <w:rsid w:val="002D0CDC"/>
    <w:rsid w:val="002D51A5"/>
    <w:rsid w:val="002E4D41"/>
    <w:rsid w:val="002F5B0D"/>
    <w:rsid w:val="003046EB"/>
    <w:rsid w:val="00306B22"/>
    <w:rsid w:val="00307431"/>
    <w:rsid w:val="00307EFF"/>
    <w:rsid w:val="00310EF2"/>
    <w:rsid w:val="00312E51"/>
    <w:rsid w:val="00314212"/>
    <w:rsid w:val="00315CBA"/>
    <w:rsid w:val="00315DC6"/>
    <w:rsid w:val="003162FB"/>
    <w:rsid w:val="00317CEC"/>
    <w:rsid w:val="0032129B"/>
    <w:rsid w:val="00323CD7"/>
    <w:rsid w:val="00327001"/>
    <w:rsid w:val="00331F6A"/>
    <w:rsid w:val="00333E99"/>
    <w:rsid w:val="00334DAD"/>
    <w:rsid w:val="00340BB1"/>
    <w:rsid w:val="00342208"/>
    <w:rsid w:val="00342C49"/>
    <w:rsid w:val="00343604"/>
    <w:rsid w:val="00344192"/>
    <w:rsid w:val="0034533F"/>
    <w:rsid w:val="00345615"/>
    <w:rsid w:val="00346B7B"/>
    <w:rsid w:val="00347569"/>
    <w:rsid w:val="003502F6"/>
    <w:rsid w:val="003519A9"/>
    <w:rsid w:val="00352D30"/>
    <w:rsid w:val="00352F7D"/>
    <w:rsid w:val="003541F2"/>
    <w:rsid w:val="00356D0A"/>
    <w:rsid w:val="0036661E"/>
    <w:rsid w:val="00366FBB"/>
    <w:rsid w:val="0036768F"/>
    <w:rsid w:val="00375B77"/>
    <w:rsid w:val="00375E83"/>
    <w:rsid w:val="00377901"/>
    <w:rsid w:val="00383532"/>
    <w:rsid w:val="003850A2"/>
    <w:rsid w:val="003873F8"/>
    <w:rsid w:val="00393F88"/>
    <w:rsid w:val="00394CDA"/>
    <w:rsid w:val="003A1025"/>
    <w:rsid w:val="003A3B7D"/>
    <w:rsid w:val="003A5AF9"/>
    <w:rsid w:val="003A630E"/>
    <w:rsid w:val="003A77D5"/>
    <w:rsid w:val="003A7A2C"/>
    <w:rsid w:val="003B0C36"/>
    <w:rsid w:val="003B1A91"/>
    <w:rsid w:val="003B4AF1"/>
    <w:rsid w:val="003B5B04"/>
    <w:rsid w:val="003B5E7F"/>
    <w:rsid w:val="003C30AD"/>
    <w:rsid w:val="003C5C3F"/>
    <w:rsid w:val="003D230E"/>
    <w:rsid w:val="003D4215"/>
    <w:rsid w:val="003D5E80"/>
    <w:rsid w:val="003D6F1D"/>
    <w:rsid w:val="003D78C9"/>
    <w:rsid w:val="003E0321"/>
    <w:rsid w:val="003F152C"/>
    <w:rsid w:val="003F2DDB"/>
    <w:rsid w:val="003F69F3"/>
    <w:rsid w:val="004012E2"/>
    <w:rsid w:val="00410443"/>
    <w:rsid w:val="00411E34"/>
    <w:rsid w:val="00411EBE"/>
    <w:rsid w:val="004127C9"/>
    <w:rsid w:val="00413E28"/>
    <w:rsid w:val="004149B5"/>
    <w:rsid w:val="00415963"/>
    <w:rsid w:val="00422DDA"/>
    <w:rsid w:val="00423AE4"/>
    <w:rsid w:val="00423DB3"/>
    <w:rsid w:val="00424404"/>
    <w:rsid w:val="00424540"/>
    <w:rsid w:val="00424A57"/>
    <w:rsid w:val="00425E30"/>
    <w:rsid w:val="00427595"/>
    <w:rsid w:val="00431493"/>
    <w:rsid w:val="004326D0"/>
    <w:rsid w:val="004372B2"/>
    <w:rsid w:val="00437B29"/>
    <w:rsid w:val="00440CF4"/>
    <w:rsid w:val="00442CF2"/>
    <w:rsid w:val="00443F89"/>
    <w:rsid w:val="004462E6"/>
    <w:rsid w:val="004477AA"/>
    <w:rsid w:val="00447865"/>
    <w:rsid w:val="00447E2F"/>
    <w:rsid w:val="0045011F"/>
    <w:rsid w:val="0045045C"/>
    <w:rsid w:val="0045121A"/>
    <w:rsid w:val="0045375E"/>
    <w:rsid w:val="004552A4"/>
    <w:rsid w:val="004571AC"/>
    <w:rsid w:val="004635FC"/>
    <w:rsid w:val="00466078"/>
    <w:rsid w:val="00467E20"/>
    <w:rsid w:val="00472A15"/>
    <w:rsid w:val="00473814"/>
    <w:rsid w:val="00474A33"/>
    <w:rsid w:val="0047524D"/>
    <w:rsid w:val="0048036A"/>
    <w:rsid w:val="004804F3"/>
    <w:rsid w:val="00482B67"/>
    <w:rsid w:val="004843E4"/>
    <w:rsid w:val="00484FB6"/>
    <w:rsid w:val="00485BE9"/>
    <w:rsid w:val="004920E9"/>
    <w:rsid w:val="004956DD"/>
    <w:rsid w:val="004A1D09"/>
    <w:rsid w:val="004A50EB"/>
    <w:rsid w:val="004A5471"/>
    <w:rsid w:val="004B08BE"/>
    <w:rsid w:val="004B163F"/>
    <w:rsid w:val="004B212D"/>
    <w:rsid w:val="004B2AB4"/>
    <w:rsid w:val="004B3564"/>
    <w:rsid w:val="004B4706"/>
    <w:rsid w:val="004B5072"/>
    <w:rsid w:val="004B622D"/>
    <w:rsid w:val="004C3CD7"/>
    <w:rsid w:val="004C4F80"/>
    <w:rsid w:val="004C5E5D"/>
    <w:rsid w:val="004D0E63"/>
    <w:rsid w:val="004D3771"/>
    <w:rsid w:val="004D3EFA"/>
    <w:rsid w:val="004D4605"/>
    <w:rsid w:val="004D604D"/>
    <w:rsid w:val="004D7FC4"/>
    <w:rsid w:val="004E096C"/>
    <w:rsid w:val="004E1830"/>
    <w:rsid w:val="004E3AEC"/>
    <w:rsid w:val="004E5A01"/>
    <w:rsid w:val="004F1ABC"/>
    <w:rsid w:val="004F1E7A"/>
    <w:rsid w:val="004F2F2A"/>
    <w:rsid w:val="004F4897"/>
    <w:rsid w:val="0051412F"/>
    <w:rsid w:val="005214B1"/>
    <w:rsid w:val="00521A6F"/>
    <w:rsid w:val="00521BD3"/>
    <w:rsid w:val="00523BE4"/>
    <w:rsid w:val="00526F2C"/>
    <w:rsid w:val="00527753"/>
    <w:rsid w:val="00533963"/>
    <w:rsid w:val="00533A2F"/>
    <w:rsid w:val="00536421"/>
    <w:rsid w:val="00540E62"/>
    <w:rsid w:val="00543CEB"/>
    <w:rsid w:val="005444C4"/>
    <w:rsid w:val="005465C0"/>
    <w:rsid w:val="005535E6"/>
    <w:rsid w:val="00554304"/>
    <w:rsid w:val="00555AD4"/>
    <w:rsid w:val="005562E9"/>
    <w:rsid w:val="005622DA"/>
    <w:rsid w:val="00562704"/>
    <w:rsid w:val="00565AD8"/>
    <w:rsid w:val="00565F77"/>
    <w:rsid w:val="00567DE8"/>
    <w:rsid w:val="00571D0A"/>
    <w:rsid w:val="0057476E"/>
    <w:rsid w:val="00581FF6"/>
    <w:rsid w:val="0058346C"/>
    <w:rsid w:val="00584C2A"/>
    <w:rsid w:val="00590B76"/>
    <w:rsid w:val="00590C71"/>
    <w:rsid w:val="00594651"/>
    <w:rsid w:val="00594C30"/>
    <w:rsid w:val="0059528E"/>
    <w:rsid w:val="005954CD"/>
    <w:rsid w:val="005A0503"/>
    <w:rsid w:val="005A2D05"/>
    <w:rsid w:val="005B63DE"/>
    <w:rsid w:val="005C09B4"/>
    <w:rsid w:val="005C13CE"/>
    <w:rsid w:val="005C407A"/>
    <w:rsid w:val="005C41AA"/>
    <w:rsid w:val="005C51E7"/>
    <w:rsid w:val="005C6253"/>
    <w:rsid w:val="005C7E9A"/>
    <w:rsid w:val="005C7F27"/>
    <w:rsid w:val="005D18A2"/>
    <w:rsid w:val="005D43A7"/>
    <w:rsid w:val="005E180E"/>
    <w:rsid w:val="005E7C08"/>
    <w:rsid w:val="005F1B35"/>
    <w:rsid w:val="005F3373"/>
    <w:rsid w:val="005F4078"/>
    <w:rsid w:val="00605948"/>
    <w:rsid w:val="006077EF"/>
    <w:rsid w:val="00610032"/>
    <w:rsid w:val="00610B94"/>
    <w:rsid w:val="00613F03"/>
    <w:rsid w:val="00621010"/>
    <w:rsid w:val="00631ACF"/>
    <w:rsid w:val="00632383"/>
    <w:rsid w:val="00634785"/>
    <w:rsid w:val="00644F1E"/>
    <w:rsid w:val="00645484"/>
    <w:rsid w:val="006464FC"/>
    <w:rsid w:val="00650806"/>
    <w:rsid w:val="00651433"/>
    <w:rsid w:val="006560C7"/>
    <w:rsid w:val="006572AF"/>
    <w:rsid w:val="00657485"/>
    <w:rsid w:val="00660EA4"/>
    <w:rsid w:val="00662752"/>
    <w:rsid w:val="00663188"/>
    <w:rsid w:val="00663346"/>
    <w:rsid w:val="006649DA"/>
    <w:rsid w:val="00664A5B"/>
    <w:rsid w:val="00672B47"/>
    <w:rsid w:val="00673ECC"/>
    <w:rsid w:val="00674A12"/>
    <w:rsid w:val="00674BF8"/>
    <w:rsid w:val="00675D0C"/>
    <w:rsid w:val="006774FD"/>
    <w:rsid w:val="00677C62"/>
    <w:rsid w:val="00680A2B"/>
    <w:rsid w:val="0068103D"/>
    <w:rsid w:val="00682F30"/>
    <w:rsid w:val="0068674B"/>
    <w:rsid w:val="006869E6"/>
    <w:rsid w:val="006874FA"/>
    <w:rsid w:val="006939B5"/>
    <w:rsid w:val="00695DA1"/>
    <w:rsid w:val="006A1DD4"/>
    <w:rsid w:val="006A392B"/>
    <w:rsid w:val="006A5577"/>
    <w:rsid w:val="006B41C6"/>
    <w:rsid w:val="006B5E49"/>
    <w:rsid w:val="006B7967"/>
    <w:rsid w:val="006C2ADC"/>
    <w:rsid w:val="006C4803"/>
    <w:rsid w:val="006D2AFC"/>
    <w:rsid w:val="006D7BAE"/>
    <w:rsid w:val="006E0669"/>
    <w:rsid w:val="006E08A5"/>
    <w:rsid w:val="006E289A"/>
    <w:rsid w:val="006E63DD"/>
    <w:rsid w:val="006E676C"/>
    <w:rsid w:val="006F0483"/>
    <w:rsid w:val="007002A3"/>
    <w:rsid w:val="00710B54"/>
    <w:rsid w:val="00710B6E"/>
    <w:rsid w:val="00716C48"/>
    <w:rsid w:val="00723654"/>
    <w:rsid w:val="007236AE"/>
    <w:rsid w:val="00726880"/>
    <w:rsid w:val="00730224"/>
    <w:rsid w:val="0073219B"/>
    <w:rsid w:val="00735A88"/>
    <w:rsid w:val="00737F08"/>
    <w:rsid w:val="007444C1"/>
    <w:rsid w:val="007518EB"/>
    <w:rsid w:val="00755D4D"/>
    <w:rsid w:val="00756B81"/>
    <w:rsid w:val="0076001B"/>
    <w:rsid w:val="00766FD9"/>
    <w:rsid w:val="00772BE2"/>
    <w:rsid w:val="0077301F"/>
    <w:rsid w:val="00773F87"/>
    <w:rsid w:val="0078020F"/>
    <w:rsid w:val="0078187E"/>
    <w:rsid w:val="00784EB0"/>
    <w:rsid w:val="00786934"/>
    <w:rsid w:val="00787652"/>
    <w:rsid w:val="00791848"/>
    <w:rsid w:val="00793FA0"/>
    <w:rsid w:val="00794660"/>
    <w:rsid w:val="007946D7"/>
    <w:rsid w:val="00794AA9"/>
    <w:rsid w:val="00797535"/>
    <w:rsid w:val="007A047A"/>
    <w:rsid w:val="007A0E1D"/>
    <w:rsid w:val="007A777F"/>
    <w:rsid w:val="007A78B1"/>
    <w:rsid w:val="007B0821"/>
    <w:rsid w:val="007B0D0A"/>
    <w:rsid w:val="007B1465"/>
    <w:rsid w:val="007B3ED4"/>
    <w:rsid w:val="007B5113"/>
    <w:rsid w:val="007C473E"/>
    <w:rsid w:val="007C4EC7"/>
    <w:rsid w:val="007D5C5E"/>
    <w:rsid w:val="007D5DD5"/>
    <w:rsid w:val="007E03B6"/>
    <w:rsid w:val="007E0659"/>
    <w:rsid w:val="007E142E"/>
    <w:rsid w:val="007E2311"/>
    <w:rsid w:val="007E457C"/>
    <w:rsid w:val="007E46D7"/>
    <w:rsid w:val="007E4C93"/>
    <w:rsid w:val="007E5421"/>
    <w:rsid w:val="007E60A2"/>
    <w:rsid w:val="007F4C21"/>
    <w:rsid w:val="007F5538"/>
    <w:rsid w:val="007F5EF1"/>
    <w:rsid w:val="00800178"/>
    <w:rsid w:val="0080072C"/>
    <w:rsid w:val="0080556D"/>
    <w:rsid w:val="00813D44"/>
    <w:rsid w:val="008164B4"/>
    <w:rsid w:val="00816B56"/>
    <w:rsid w:val="00821A8C"/>
    <w:rsid w:val="00823E76"/>
    <w:rsid w:val="008247EA"/>
    <w:rsid w:val="00824A03"/>
    <w:rsid w:val="00835938"/>
    <w:rsid w:val="008363FE"/>
    <w:rsid w:val="00840C7D"/>
    <w:rsid w:val="00843A58"/>
    <w:rsid w:val="008456A7"/>
    <w:rsid w:val="00845763"/>
    <w:rsid w:val="00847A25"/>
    <w:rsid w:val="0085455F"/>
    <w:rsid w:val="00857CE4"/>
    <w:rsid w:val="0086292E"/>
    <w:rsid w:val="00863863"/>
    <w:rsid w:val="00871ECE"/>
    <w:rsid w:val="00877201"/>
    <w:rsid w:val="008773DA"/>
    <w:rsid w:val="008776AA"/>
    <w:rsid w:val="00880EA2"/>
    <w:rsid w:val="00884E44"/>
    <w:rsid w:val="00887F71"/>
    <w:rsid w:val="008974F5"/>
    <w:rsid w:val="008A4CCD"/>
    <w:rsid w:val="008A528F"/>
    <w:rsid w:val="008A769F"/>
    <w:rsid w:val="008B0C4D"/>
    <w:rsid w:val="008B2CEB"/>
    <w:rsid w:val="008B2DDC"/>
    <w:rsid w:val="008B6C16"/>
    <w:rsid w:val="008C0330"/>
    <w:rsid w:val="008C17B2"/>
    <w:rsid w:val="008C1C24"/>
    <w:rsid w:val="008C618B"/>
    <w:rsid w:val="008D1398"/>
    <w:rsid w:val="008D24D0"/>
    <w:rsid w:val="008D4CEE"/>
    <w:rsid w:val="008D4DC0"/>
    <w:rsid w:val="008E3503"/>
    <w:rsid w:val="008E372A"/>
    <w:rsid w:val="008E5703"/>
    <w:rsid w:val="008E5A6A"/>
    <w:rsid w:val="008F12D9"/>
    <w:rsid w:val="008F3367"/>
    <w:rsid w:val="00903A09"/>
    <w:rsid w:val="00907066"/>
    <w:rsid w:val="00907572"/>
    <w:rsid w:val="00910F94"/>
    <w:rsid w:val="00911BDB"/>
    <w:rsid w:val="0091214E"/>
    <w:rsid w:val="00912BC3"/>
    <w:rsid w:val="009132C8"/>
    <w:rsid w:val="009143BA"/>
    <w:rsid w:val="0091621C"/>
    <w:rsid w:val="00917AF7"/>
    <w:rsid w:val="00920DEB"/>
    <w:rsid w:val="0092571C"/>
    <w:rsid w:val="00925A45"/>
    <w:rsid w:val="009356AC"/>
    <w:rsid w:val="009412EE"/>
    <w:rsid w:val="0094328D"/>
    <w:rsid w:val="00943E34"/>
    <w:rsid w:val="0094476E"/>
    <w:rsid w:val="009455C4"/>
    <w:rsid w:val="0094752E"/>
    <w:rsid w:val="009475ED"/>
    <w:rsid w:val="0095014C"/>
    <w:rsid w:val="00950A80"/>
    <w:rsid w:val="0095765F"/>
    <w:rsid w:val="009612A9"/>
    <w:rsid w:val="00961E5E"/>
    <w:rsid w:val="0096276C"/>
    <w:rsid w:val="00964879"/>
    <w:rsid w:val="0096536F"/>
    <w:rsid w:val="00967AFE"/>
    <w:rsid w:val="00971546"/>
    <w:rsid w:val="009744DE"/>
    <w:rsid w:val="009777D9"/>
    <w:rsid w:val="00982998"/>
    <w:rsid w:val="00984677"/>
    <w:rsid w:val="009878B8"/>
    <w:rsid w:val="009911D5"/>
    <w:rsid w:val="009915B6"/>
    <w:rsid w:val="00993010"/>
    <w:rsid w:val="00994313"/>
    <w:rsid w:val="009945EB"/>
    <w:rsid w:val="00995D2E"/>
    <w:rsid w:val="0099655F"/>
    <w:rsid w:val="009A13BC"/>
    <w:rsid w:val="009A1A3B"/>
    <w:rsid w:val="009A1F6E"/>
    <w:rsid w:val="009A2FA2"/>
    <w:rsid w:val="009A3347"/>
    <w:rsid w:val="009A4483"/>
    <w:rsid w:val="009A6DC9"/>
    <w:rsid w:val="009B5107"/>
    <w:rsid w:val="009B7179"/>
    <w:rsid w:val="009C371E"/>
    <w:rsid w:val="009C4860"/>
    <w:rsid w:val="009C4F83"/>
    <w:rsid w:val="009C5C91"/>
    <w:rsid w:val="009C7905"/>
    <w:rsid w:val="009C7E48"/>
    <w:rsid w:val="009D74D1"/>
    <w:rsid w:val="009D7538"/>
    <w:rsid w:val="009E610F"/>
    <w:rsid w:val="009E65B5"/>
    <w:rsid w:val="009F276F"/>
    <w:rsid w:val="009F4163"/>
    <w:rsid w:val="009F6C3A"/>
    <w:rsid w:val="009F71DB"/>
    <w:rsid w:val="009F7B21"/>
    <w:rsid w:val="00A00A19"/>
    <w:rsid w:val="00A028CA"/>
    <w:rsid w:val="00A04574"/>
    <w:rsid w:val="00A14E8B"/>
    <w:rsid w:val="00A175CA"/>
    <w:rsid w:val="00A22C12"/>
    <w:rsid w:val="00A22ED2"/>
    <w:rsid w:val="00A271C7"/>
    <w:rsid w:val="00A27B01"/>
    <w:rsid w:val="00A30635"/>
    <w:rsid w:val="00A336CC"/>
    <w:rsid w:val="00A4070E"/>
    <w:rsid w:val="00A438A3"/>
    <w:rsid w:val="00A56FA4"/>
    <w:rsid w:val="00A579CE"/>
    <w:rsid w:val="00A60FB0"/>
    <w:rsid w:val="00A624A0"/>
    <w:rsid w:val="00A62B2F"/>
    <w:rsid w:val="00A63B43"/>
    <w:rsid w:val="00A64981"/>
    <w:rsid w:val="00A71E0C"/>
    <w:rsid w:val="00A7318E"/>
    <w:rsid w:val="00A7329E"/>
    <w:rsid w:val="00A73746"/>
    <w:rsid w:val="00A76C33"/>
    <w:rsid w:val="00A776E8"/>
    <w:rsid w:val="00A77E54"/>
    <w:rsid w:val="00A80605"/>
    <w:rsid w:val="00A81B1F"/>
    <w:rsid w:val="00A81C66"/>
    <w:rsid w:val="00A90198"/>
    <w:rsid w:val="00A90EA9"/>
    <w:rsid w:val="00A9207C"/>
    <w:rsid w:val="00A92191"/>
    <w:rsid w:val="00A92CA3"/>
    <w:rsid w:val="00A940E9"/>
    <w:rsid w:val="00A97802"/>
    <w:rsid w:val="00AA1451"/>
    <w:rsid w:val="00AA14A0"/>
    <w:rsid w:val="00AA2A03"/>
    <w:rsid w:val="00AA2AE2"/>
    <w:rsid w:val="00AA3730"/>
    <w:rsid w:val="00AA57AD"/>
    <w:rsid w:val="00AA7193"/>
    <w:rsid w:val="00AB05FB"/>
    <w:rsid w:val="00AB2061"/>
    <w:rsid w:val="00AB2918"/>
    <w:rsid w:val="00AB77EB"/>
    <w:rsid w:val="00AC7C14"/>
    <w:rsid w:val="00AE2AFA"/>
    <w:rsid w:val="00AE2E8F"/>
    <w:rsid w:val="00AE38CF"/>
    <w:rsid w:val="00AE3FC5"/>
    <w:rsid w:val="00AF02BD"/>
    <w:rsid w:val="00AF24DC"/>
    <w:rsid w:val="00AF4BB7"/>
    <w:rsid w:val="00AF5465"/>
    <w:rsid w:val="00AF588C"/>
    <w:rsid w:val="00AF5B64"/>
    <w:rsid w:val="00AF5D0C"/>
    <w:rsid w:val="00AF5E43"/>
    <w:rsid w:val="00AF5FC8"/>
    <w:rsid w:val="00AF6975"/>
    <w:rsid w:val="00AF7FB3"/>
    <w:rsid w:val="00B01300"/>
    <w:rsid w:val="00B01B42"/>
    <w:rsid w:val="00B05FF4"/>
    <w:rsid w:val="00B07AFA"/>
    <w:rsid w:val="00B167F4"/>
    <w:rsid w:val="00B1774B"/>
    <w:rsid w:val="00B17BD6"/>
    <w:rsid w:val="00B22D0B"/>
    <w:rsid w:val="00B23EDE"/>
    <w:rsid w:val="00B24134"/>
    <w:rsid w:val="00B25467"/>
    <w:rsid w:val="00B257D1"/>
    <w:rsid w:val="00B35ACC"/>
    <w:rsid w:val="00B37772"/>
    <w:rsid w:val="00B429B9"/>
    <w:rsid w:val="00B42C3D"/>
    <w:rsid w:val="00B44A54"/>
    <w:rsid w:val="00B44F4A"/>
    <w:rsid w:val="00B45773"/>
    <w:rsid w:val="00B45B86"/>
    <w:rsid w:val="00B52D7E"/>
    <w:rsid w:val="00B55D54"/>
    <w:rsid w:val="00B631CF"/>
    <w:rsid w:val="00B632D7"/>
    <w:rsid w:val="00B63A74"/>
    <w:rsid w:val="00B67934"/>
    <w:rsid w:val="00B74B74"/>
    <w:rsid w:val="00B7734D"/>
    <w:rsid w:val="00B77D68"/>
    <w:rsid w:val="00B80A44"/>
    <w:rsid w:val="00B8297A"/>
    <w:rsid w:val="00B838DF"/>
    <w:rsid w:val="00B86492"/>
    <w:rsid w:val="00B90362"/>
    <w:rsid w:val="00B9214F"/>
    <w:rsid w:val="00B9370B"/>
    <w:rsid w:val="00B93A3E"/>
    <w:rsid w:val="00B95852"/>
    <w:rsid w:val="00B97ADE"/>
    <w:rsid w:val="00BA2DDD"/>
    <w:rsid w:val="00BA4EEA"/>
    <w:rsid w:val="00BB1322"/>
    <w:rsid w:val="00BB2F4A"/>
    <w:rsid w:val="00BB3132"/>
    <w:rsid w:val="00BB3306"/>
    <w:rsid w:val="00BB5D52"/>
    <w:rsid w:val="00BB6094"/>
    <w:rsid w:val="00BC1C60"/>
    <w:rsid w:val="00BC3CCC"/>
    <w:rsid w:val="00BC42BE"/>
    <w:rsid w:val="00BD25A0"/>
    <w:rsid w:val="00BD38BE"/>
    <w:rsid w:val="00BE6726"/>
    <w:rsid w:val="00BF185C"/>
    <w:rsid w:val="00BF190D"/>
    <w:rsid w:val="00BF2DEB"/>
    <w:rsid w:val="00BF7177"/>
    <w:rsid w:val="00C013B6"/>
    <w:rsid w:val="00C028FD"/>
    <w:rsid w:val="00C02F2C"/>
    <w:rsid w:val="00C033F2"/>
    <w:rsid w:val="00C0362B"/>
    <w:rsid w:val="00C14771"/>
    <w:rsid w:val="00C147F0"/>
    <w:rsid w:val="00C26C0F"/>
    <w:rsid w:val="00C26C53"/>
    <w:rsid w:val="00C274AD"/>
    <w:rsid w:val="00C27AB0"/>
    <w:rsid w:val="00C27E23"/>
    <w:rsid w:val="00C31077"/>
    <w:rsid w:val="00C35520"/>
    <w:rsid w:val="00C368C2"/>
    <w:rsid w:val="00C40A39"/>
    <w:rsid w:val="00C431A8"/>
    <w:rsid w:val="00C43E85"/>
    <w:rsid w:val="00C47671"/>
    <w:rsid w:val="00C47704"/>
    <w:rsid w:val="00C50913"/>
    <w:rsid w:val="00C52143"/>
    <w:rsid w:val="00C52408"/>
    <w:rsid w:val="00C55366"/>
    <w:rsid w:val="00C63999"/>
    <w:rsid w:val="00C74289"/>
    <w:rsid w:val="00C74B0B"/>
    <w:rsid w:val="00C74DB1"/>
    <w:rsid w:val="00C77432"/>
    <w:rsid w:val="00C865E2"/>
    <w:rsid w:val="00C86B75"/>
    <w:rsid w:val="00C91A37"/>
    <w:rsid w:val="00C941CA"/>
    <w:rsid w:val="00C946B5"/>
    <w:rsid w:val="00C957CF"/>
    <w:rsid w:val="00C95EA8"/>
    <w:rsid w:val="00C97A34"/>
    <w:rsid w:val="00C97A3F"/>
    <w:rsid w:val="00CA20AE"/>
    <w:rsid w:val="00CA2FF5"/>
    <w:rsid w:val="00CA577D"/>
    <w:rsid w:val="00CA7442"/>
    <w:rsid w:val="00CB3495"/>
    <w:rsid w:val="00CC0DB7"/>
    <w:rsid w:val="00CC109C"/>
    <w:rsid w:val="00CC68A4"/>
    <w:rsid w:val="00CD11D2"/>
    <w:rsid w:val="00CD15B7"/>
    <w:rsid w:val="00CD1780"/>
    <w:rsid w:val="00CD1A11"/>
    <w:rsid w:val="00CD2197"/>
    <w:rsid w:val="00CD682A"/>
    <w:rsid w:val="00CE4C32"/>
    <w:rsid w:val="00CE4D5F"/>
    <w:rsid w:val="00CF085D"/>
    <w:rsid w:val="00CF0884"/>
    <w:rsid w:val="00CF121F"/>
    <w:rsid w:val="00CF3292"/>
    <w:rsid w:val="00CF510E"/>
    <w:rsid w:val="00CF5A44"/>
    <w:rsid w:val="00D0749F"/>
    <w:rsid w:val="00D1035F"/>
    <w:rsid w:val="00D11B4C"/>
    <w:rsid w:val="00D15CF4"/>
    <w:rsid w:val="00D210A1"/>
    <w:rsid w:val="00D35595"/>
    <w:rsid w:val="00D40644"/>
    <w:rsid w:val="00D448E8"/>
    <w:rsid w:val="00D4531A"/>
    <w:rsid w:val="00D464D0"/>
    <w:rsid w:val="00D51D9B"/>
    <w:rsid w:val="00D53004"/>
    <w:rsid w:val="00D568ED"/>
    <w:rsid w:val="00D56FE1"/>
    <w:rsid w:val="00D57470"/>
    <w:rsid w:val="00D62CB8"/>
    <w:rsid w:val="00D64365"/>
    <w:rsid w:val="00D73030"/>
    <w:rsid w:val="00D74735"/>
    <w:rsid w:val="00D76E0A"/>
    <w:rsid w:val="00D805E1"/>
    <w:rsid w:val="00D80F13"/>
    <w:rsid w:val="00D818AB"/>
    <w:rsid w:val="00D846E4"/>
    <w:rsid w:val="00D95463"/>
    <w:rsid w:val="00D95FD2"/>
    <w:rsid w:val="00D964E6"/>
    <w:rsid w:val="00DA1C07"/>
    <w:rsid w:val="00DA3A15"/>
    <w:rsid w:val="00DA73DF"/>
    <w:rsid w:val="00DB04CE"/>
    <w:rsid w:val="00DB56A3"/>
    <w:rsid w:val="00DC039E"/>
    <w:rsid w:val="00DC1B70"/>
    <w:rsid w:val="00DC3579"/>
    <w:rsid w:val="00DD235E"/>
    <w:rsid w:val="00DD5C22"/>
    <w:rsid w:val="00DE1B69"/>
    <w:rsid w:val="00DE3B40"/>
    <w:rsid w:val="00DE55FB"/>
    <w:rsid w:val="00DE5C47"/>
    <w:rsid w:val="00DF0B3F"/>
    <w:rsid w:val="00DF1139"/>
    <w:rsid w:val="00DF492C"/>
    <w:rsid w:val="00E02585"/>
    <w:rsid w:val="00E04A2F"/>
    <w:rsid w:val="00E06478"/>
    <w:rsid w:val="00E17488"/>
    <w:rsid w:val="00E24576"/>
    <w:rsid w:val="00E2653E"/>
    <w:rsid w:val="00E30931"/>
    <w:rsid w:val="00E32468"/>
    <w:rsid w:val="00E37603"/>
    <w:rsid w:val="00E4191A"/>
    <w:rsid w:val="00E50BDA"/>
    <w:rsid w:val="00E517AF"/>
    <w:rsid w:val="00E55CFA"/>
    <w:rsid w:val="00E5615B"/>
    <w:rsid w:val="00E624B5"/>
    <w:rsid w:val="00E626E5"/>
    <w:rsid w:val="00E63BD0"/>
    <w:rsid w:val="00E664A5"/>
    <w:rsid w:val="00E70C05"/>
    <w:rsid w:val="00E821C3"/>
    <w:rsid w:val="00E82772"/>
    <w:rsid w:val="00E82C32"/>
    <w:rsid w:val="00E84651"/>
    <w:rsid w:val="00E8569B"/>
    <w:rsid w:val="00E87311"/>
    <w:rsid w:val="00E87D67"/>
    <w:rsid w:val="00E908AF"/>
    <w:rsid w:val="00E92CE8"/>
    <w:rsid w:val="00E952EF"/>
    <w:rsid w:val="00EA22AC"/>
    <w:rsid w:val="00EA498C"/>
    <w:rsid w:val="00EA7C33"/>
    <w:rsid w:val="00EB44CD"/>
    <w:rsid w:val="00EB6BB1"/>
    <w:rsid w:val="00EC52B2"/>
    <w:rsid w:val="00EC72F5"/>
    <w:rsid w:val="00ED1948"/>
    <w:rsid w:val="00ED5C78"/>
    <w:rsid w:val="00EE0935"/>
    <w:rsid w:val="00EE268C"/>
    <w:rsid w:val="00EF1E1D"/>
    <w:rsid w:val="00EF6B1D"/>
    <w:rsid w:val="00F00E4D"/>
    <w:rsid w:val="00F04174"/>
    <w:rsid w:val="00F05DEA"/>
    <w:rsid w:val="00F119A9"/>
    <w:rsid w:val="00F12041"/>
    <w:rsid w:val="00F12847"/>
    <w:rsid w:val="00F13536"/>
    <w:rsid w:val="00F13CE7"/>
    <w:rsid w:val="00F147F4"/>
    <w:rsid w:val="00F15098"/>
    <w:rsid w:val="00F17A2E"/>
    <w:rsid w:val="00F17C4E"/>
    <w:rsid w:val="00F20E73"/>
    <w:rsid w:val="00F21727"/>
    <w:rsid w:val="00F27529"/>
    <w:rsid w:val="00F279F8"/>
    <w:rsid w:val="00F27CC9"/>
    <w:rsid w:val="00F30746"/>
    <w:rsid w:val="00F3188B"/>
    <w:rsid w:val="00F36672"/>
    <w:rsid w:val="00F37458"/>
    <w:rsid w:val="00F37CC1"/>
    <w:rsid w:val="00F41155"/>
    <w:rsid w:val="00F41F5D"/>
    <w:rsid w:val="00F42360"/>
    <w:rsid w:val="00F459DB"/>
    <w:rsid w:val="00F50599"/>
    <w:rsid w:val="00F51F83"/>
    <w:rsid w:val="00F5316F"/>
    <w:rsid w:val="00F56C58"/>
    <w:rsid w:val="00F6610B"/>
    <w:rsid w:val="00F671D1"/>
    <w:rsid w:val="00F72364"/>
    <w:rsid w:val="00F73016"/>
    <w:rsid w:val="00F74688"/>
    <w:rsid w:val="00F757A7"/>
    <w:rsid w:val="00F80068"/>
    <w:rsid w:val="00F824B1"/>
    <w:rsid w:val="00F8494B"/>
    <w:rsid w:val="00F92186"/>
    <w:rsid w:val="00FA1A8B"/>
    <w:rsid w:val="00FA7052"/>
    <w:rsid w:val="00FB2FFD"/>
    <w:rsid w:val="00FB3AB6"/>
    <w:rsid w:val="00FC29D0"/>
    <w:rsid w:val="00FC4535"/>
    <w:rsid w:val="00FC46FC"/>
    <w:rsid w:val="00FC7E60"/>
    <w:rsid w:val="00FD02A1"/>
    <w:rsid w:val="00FD1F8A"/>
    <w:rsid w:val="00FD5C87"/>
    <w:rsid w:val="00FD6A2A"/>
    <w:rsid w:val="00FE13BC"/>
    <w:rsid w:val="00FE4165"/>
    <w:rsid w:val="00FE4A17"/>
    <w:rsid w:val="00FE5F51"/>
    <w:rsid w:val="00FE7D32"/>
    <w:rsid w:val="00FF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7661E-C78A-447F-BBAC-EB866CEB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Milos Milosevic</cp:lastModifiedBy>
  <cp:revision>2</cp:revision>
  <cp:lastPrinted>2020-03-13T08:54:00Z</cp:lastPrinted>
  <dcterms:created xsi:type="dcterms:W3CDTF">2020-05-08T09:48:00Z</dcterms:created>
  <dcterms:modified xsi:type="dcterms:W3CDTF">2020-05-08T09:48:00Z</dcterms:modified>
</cp:coreProperties>
</file>