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1F739" w14:textId="77777777" w:rsidR="008C7DC0" w:rsidRPr="00724B14" w:rsidRDefault="00920E3A" w:rsidP="00920E3A">
      <w:pPr>
        <w:spacing w:after="120" w:line="264" w:lineRule="auto"/>
        <w:rPr>
          <w:rFonts w:asciiTheme="minorHAnsi" w:hAnsiTheme="minorHAnsi"/>
          <w:b/>
          <w:sz w:val="32"/>
          <w:szCs w:val="32"/>
          <w:lang w:val="en-US"/>
        </w:rPr>
      </w:pPr>
      <w:r w:rsidRPr="00724B14">
        <w:rPr>
          <w:rFonts w:asciiTheme="minorHAnsi" w:hAnsiTheme="minorHAnsi"/>
          <w:b/>
          <w:sz w:val="32"/>
          <w:szCs w:val="32"/>
          <w:lang w:val="en-US"/>
        </w:rPr>
        <w:t>Market Monthly</w:t>
      </w:r>
    </w:p>
    <w:p w14:paraId="21C6265E" w14:textId="6A33AC9E" w:rsidR="00520025" w:rsidRPr="00724B14" w:rsidRDefault="00974CB2" w:rsidP="00920E3A">
      <w:pPr>
        <w:spacing w:after="120" w:line="264" w:lineRule="auto"/>
        <w:rPr>
          <w:rFonts w:asciiTheme="minorHAnsi" w:hAnsiTheme="minorHAnsi"/>
          <w:b/>
          <w:sz w:val="32"/>
          <w:szCs w:val="32"/>
          <w:lang w:val="en-US"/>
        </w:rPr>
      </w:pPr>
      <w:r>
        <w:rPr>
          <w:rFonts w:asciiTheme="minorHAnsi" w:hAnsiTheme="minorHAnsi"/>
          <w:b/>
          <w:sz w:val="32"/>
          <w:szCs w:val="32"/>
          <w:lang w:val="en-US"/>
        </w:rPr>
        <w:t>April</w:t>
      </w:r>
      <w:r w:rsidR="00062DE1">
        <w:rPr>
          <w:rFonts w:asciiTheme="minorHAnsi" w:hAnsiTheme="minorHAnsi"/>
          <w:b/>
          <w:sz w:val="32"/>
          <w:szCs w:val="32"/>
          <w:lang w:val="en-US"/>
        </w:rPr>
        <w:t xml:space="preserve"> 2</w:t>
      </w:r>
      <w:r w:rsidR="00210ED0">
        <w:rPr>
          <w:rFonts w:asciiTheme="minorHAnsi" w:hAnsiTheme="minorHAnsi"/>
          <w:b/>
          <w:sz w:val="32"/>
          <w:szCs w:val="32"/>
          <w:lang w:val="en-US"/>
        </w:rPr>
        <w:t>020</w:t>
      </w:r>
    </w:p>
    <w:p w14:paraId="49BAA3C3" w14:textId="77777777" w:rsidR="00920E3A" w:rsidRPr="00724B14" w:rsidRDefault="00920E3A" w:rsidP="00920E3A">
      <w:pPr>
        <w:spacing w:after="120" w:line="264" w:lineRule="auto"/>
        <w:rPr>
          <w:rFonts w:asciiTheme="minorHAnsi" w:hAnsiTheme="minorHAnsi"/>
          <w:b/>
          <w:color w:val="AA1639"/>
          <w:sz w:val="20"/>
          <w:u w:val="single"/>
          <w:lang w:val="en-US"/>
        </w:rPr>
      </w:pPr>
      <w:r w:rsidRPr="00724B14">
        <w:rPr>
          <w:rFonts w:asciiTheme="minorHAnsi" w:hAnsiTheme="minorHAnsi"/>
          <w:b/>
          <w:color w:val="AA1639"/>
          <w:sz w:val="20"/>
          <w:u w:val="single"/>
          <w:lang w:val="en-US"/>
        </w:rPr>
        <w:t>Highlights</w:t>
      </w:r>
    </w:p>
    <w:p w14:paraId="182951D9" w14:textId="566CC9AF" w:rsidR="00BD78F0" w:rsidRPr="0053333A" w:rsidRDefault="00920E3A" w:rsidP="0053333A">
      <w:pPr>
        <w:numPr>
          <w:ilvl w:val="0"/>
          <w:numId w:val="1"/>
        </w:numPr>
        <w:spacing w:after="120" w:line="240" w:lineRule="auto"/>
        <w:ind w:left="357" w:hanging="357"/>
        <w:jc w:val="both"/>
        <w:rPr>
          <w:rFonts w:asciiTheme="minorHAnsi" w:hAnsiTheme="minorHAnsi"/>
          <w:sz w:val="19"/>
          <w:szCs w:val="19"/>
          <w:lang w:val="en-US"/>
        </w:rPr>
      </w:pPr>
      <w:r w:rsidRPr="00F97C6E">
        <w:rPr>
          <w:rFonts w:asciiTheme="minorHAnsi" w:hAnsiTheme="minorHAnsi"/>
          <w:b/>
          <w:sz w:val="19"/>
          <w:szCs w:val="19"/>
          <w:lang w:val="en-US"/>
        </w:rPr>
        <w:t>Economics:</w:t>
      </w:r>
      <w:r w:rsidR="00386B78" w:rsidRPr="00F97C6E">
        <w:rPr>
          <w:rFonts w:asciiTheme="minorHAnsi" w:hAnsiTheme="minorHAnsi"/>
          <w:b/>
          <w:sz w:val="19"/>
          <w:szCs w:val="19"/>
          <w:lang w:val="en-US"/>
        </w:rPr>
        <w:t xml:space="preserve"> </w:t>
      </w:r>
      <w:r w:rsidR="00974CB2">
        <w:rPr>
          <w:rFonts w:asciiTheme="minorHAnsi" w:hAnsiTheme="minorHAnsi"/>
          <w:sz w:val="19"/>
          <w:szCs w:val="19"/>
          <w:lang w:val="en-US"/>
        </w:rPr>
        <w:t>First quarter GDP numbers across the worlds showed sharp reverse in economy activity.</w:t>
      </w:r>
      <w:r w:rsidR="00774F4B">
        <w:rPr>
          <w:rFonts w:asciiTheme="minorHAnsi" w:hAnsiTheme="minorHAnsi"/>
          <w:sz w:val="19"/>
          <w:szCs w:val="19"/>
          <w:lang w:val="en-US"/>
        </w:rPr>
        <w:t xml:space="preserve"> </w:t>
      </w:r>
      <w:r w:rsidR="00974CB2">
        <w:rPr>
          <w:rFonts w:asciiTheme="minorHAnsi" w:hAnsiTheme="minorHAnsi"/>
          <w:sz w:val="19"/>
          <w:szCs w:val="19"/>
          <w:lang w:val="en-US"/>
        </w:rPr>
        <w:t>In USA, GDP decreased by 4.8%</w:t>
      </w:r>
      <w:r w:rsidR="00000BBB">
        <w:rPr>
          <w:rFonts w:asciiTheme="minorHAnsi" w:hAnsiTheme="minorHAnsi"/>
          <w:sz w:val="19"/>
          <w:szCs w:val="19"/>
          <w:lang w:val="en-US"/>
        </w:rPr>
        <w:t>, with cumulative number of jobl</w:t>
      </w:r>
      <w:r w:rsidR="00E749E9">
        <w:rPr>
          <w:rFonts w:asciiTheme="minorHAnsi" w:hAnsiTheme="minorHAnsi"/>
          <w:sz w:val="19"/>
          <w:szCs w:val="19"/>
          <w:lang w:val="en-US"/>
        </w:rPr>
        <w:t>ess claims totaled to 26mn</w:t>
      </w:r>
      <w:r w:rsidR="00000BBB">
        <w:rPr>
          <w:rFonts w:asciiTheme="minorHAnsi" w:hAnsiTheme="minorHAnsi"/>
          <w:sz w:val="19"/>
          <w:szCs w:val="19"/>
          <w:lang w:val="en-US"/>
        </w:rPr>
        <w:t>.</w:t>
      </w:r>
      <w:r w:rsidR="00974CB2">
        <w:rPr>
          <w:rFonts w:asciiTheme="minorHAnsi" w:hAnsiTheme="minorHAnsi"/>
          <w:sz w:val="19"/>
          <w:szCs w:val="19"/>
          <w:lang w:val="en-US"/>
        </w:rPr>
        <w:t xml:space="preserve"> </w:t>
      </w:r>
      <w:r w:rsidR="00000BBB">
        <w:rPr>
          <w:rFonts w:asciiTheme="minorHAnsi" w:hAnsiTheme="minorHAnsi"/>
          <w:sz w:val="19"/>
          <w:szCs w:val="19"/>
          <w:lang w:val="en-US"/>
        </w:rPr>
        <w:t>Massive</w:t>
      </w:r>
      <w:r w:rsidR="00E749E9">
        <w:rPr>
          <w:rFonts w:asciiTheme="minorHAnsi" w:hAnsiTheme="minorHAnsi"/>
          <w:sz w:val="19"/>
          <w:szCs w:val="19"/>
          <w:lang w:val="en-US"/>
        </w:rPr>
        <w:t xml:space="preserve"> fiscal stimulus which exceeds USD </w:t>
      </w:r>
      <w:r w:rsidR="00000BBB">
        <w:rPr>
          <w:rFonts w:asciiTheme="minorHAnsi" w:hAnsiTheme="minorHAnsi"/>
          <w:sz w:val="19"/>
          <w:szCs w:val="19"/>
          <w:lang w:val="en-US"/>
        </w:rPr>
        <w:t xml:space="preserve">2tn coupled with FED expansive monetary policy will offset </w:t>
      </w:r>
      <w:r w:rsidR="00D0632E">
        <w:rPr>
          <w:rFonts w:asciiTheme="minorHAnsi" w:hAnsiTheme="minorHAnsi"/>
          <w:sz w:val="19"/>
          <w:szCs w:val="19"/>
          <w:lang w:val="en-US"/>
        </w:rPr>
        <w:t xml:space="preserve">part of coronavirus adverse impact </w:t>
      </w:r>
      <w:r w:rsidR="00000BBB">
        <w:rPr>
          <w:rFonts w:asciiTheme="minorHAnsi" w:hAnsiTheme="minorHAnsi"/>
          <w:sz w:val="19"/>
          <w:szCs w:val="19"/>
          <w:lang w:val="en-US"/>
        </w:rPr>
        <w:t>on Q2 but still US economy will most likely post two consecutive</w:t>
      </w:r>
      <w:r w:rsidR="00D0632E">
        <w:rPr>
          <w:rFonts w:asciiTheme="minorHAnsi" w:hAnsiTheme="minorHAnsi"/>
          <w:sz w:val="19"/>
          <w:szCs w:val="19"/>
          <w:lang w:val="en-US"/>
        </w:rPr>
        <w:t xml:space="preserve"> quarters of decline</w:t>
      </w:r>
      <w:r w:rsidR="00000BBB">
        <w:rPr>
          <w:rFonts w:asciiTheme="minorHAnsi" w:hAnsiTheme="minorHAnsi"/>
          <w:sz w:val="19"/>
          <w:szCs w:val="19"/>
          <w:lang w:val="en-US"/>
        </w:rPr>
        <w:t xml:space="preserve">. Same situation is in Europe where GDP fall by 3.8% in Q1, where the expectation for whole year are -7.4%. According to released figures and outlooks, China already faced worst consequence of coronavirus with -6.8% GDP drop in 1Q, but </w:t>
      </w:r>
      <w:r w:rsidR="00266508">
        <w:rPr>
          <w:rFonts w:asciiTheme="minorHAnsi" w:hAnsiTheme="minorHAnsi"/>
          <w:sz w:val="19"/>
          <w:szCs w:val="19"/>
          <w:lang w:val="en-US"/>
        </w:rPr>
        <w:t>stated that overall growth for 2020 will be 5%.</w:t>
      </w:r>
    </w:p>
    <w:p w14:paraId="0435BBCA" w14:textId="49115511" w:rsidR="00920E3A" w:rsidRPr="00F97C6E" w:rsidRDefault="00920E3A" w:rsidP="00A61B5F">
      <w:pPr>
        <w:numPr>
          <w:ilvl w:val="0"/>
          <w:numId w:val="1"/>
        </w:numPr>
        <w:spacing w:after="120" w:line="240" w:lineRule="auto"/>
        <w:ind w:left="357" w:hanging="357"/>
        <w:jc w:val="both"/>
        <w:rPr>
          <w:rFonts w:asciiTheme="minorHAnsi" w:hAnsiTheme="minorHAnsi"/>
          <w:b/>
          <w:sz w:val="19"/>
          <w:szCs w:val="19"/>
          <w:lang w:val="en-US"/>
        </w:rPr>
      </w:pPr>
      <w:r w:rsidRPr="005F3D98">
        <w:rPr>
          <w:rFonts w:asciiTheme="minorHAnsi" w:hAnsiTheme="minorHAnsi"/>
          <w:b/>
          <w:sz w:val="19"/>
          <w:szCs w:val="19"/>
          <w:lang w:val="en-US"/>
        </w:rPr>
        <w:t>Inflation</w:t>
      </w:r>
      <w:r w:rsidR="00946213" w:rsidRPr="005F3D98">
        <w:rPr>
          <w:rFonts w:asciiTheme="minorHAnsi" w:hAnsiTheme="minorHAnsi"/>
          <w:b/>
          <w:sz w:val="19"/>
          <w:szCs w:val="19"/>
          <w:lang w:val="en-US"/>
        </w:rPr>
        <w:t>:</w:t>
      </w:r>
      <w:r w:rsidR="00DB72B9" w:rsidRPr="005F3D98">
        <w:rPr>
          <w:rFonts w:asciiTheme="minorHAnsi" w:hAnsiTheme="minorHAnsi"/>
          <w:b/>
          <w:sz w:val="19"/>
          <w:szCs w:val="19"/>
          <w:lang w:val="en-US"/>
        </w:rPr>
        <w:t xml:space="preserve"> </w:t>
      </w:r>
      <w:r w:rsidR="00535EEF">
        <w:rPr>
          <w:rFonts w:asciiTheme="minorHAnsi" w:hAnsiTheme="minorHAnsi"/>
          <w:sz w:val="19"/>
          <w:szCs w:val="19"/>
          <w:lang w:val="en-US"/>
        </w:rPr>
        <w:t xml:space="preserve">Observing US consumer prices on monthly basis, </w:t>
      </w:r>
      <w:r w:rsidR="00F81634">
        <w:rPr>
          <w:rFonts w:asciiTheme="minorHAnsi" w:hAnsiTheme="minorHAnsi"/>
          <w:sz w:val="19"/>
          <w:szCs w:val="19"/>
          <w:lang w:val="en-US"/>
        </w:rPr>
        <w:t>expenditure</w:t>
      </w:r>
      <w:r w:rsidR="00535EEF">
        <w:rPr>
          <w:rFonts w:asciiTheme="minorHAnsi" w:hAnsiTheme="minorHAnsi"/>
          <w:sz w:val="19"/>
          <w:szCs w:val="19"/>
          <w:lang w:val="en-US"/>
        </w:rPr>
        <w:t>s</w:t>
      </w:r>
      <w:r w:rsidR="00005D61" w:rsidRPr="005F3D98">
        <w:rPr>
          <w:rFonts w:asciiTheme="minorHAnsi" w:hAnsiTheme="minorHAnsi"/>
          <w:sz w:val="19"/>
          <w:szCs w:val="19"/>
          <w:lang w:val="en-US"/>
        </w:rPr>
        <w:t xml:space="preserve"> </w:t>
      </w:r>
      <w:r w:rsidR="00266508">
        <w:rPr>
          <w:rFonts w:asciiTheme="minorHAnsi" w:hAnsiTheme="minorHAnsi"/>
          <w:sz w:val="19"/>
          <w:szCs w:val="19"/>
          <w:lang w:val="en-US"/>
        </w:rPr>
        <w:t>declined by 0.4% in March, reaching 1.5</w:t>
      </w:r>
      <w:r w:rsidR="004368BC">
        <w:rPr>
          <w:rFonts w:asciiTheme="minorHAnsi" w:hAnsiTheme="minorHAnsi"/>
          <w:sz w:val="19"/>
          <w:szCs w:val="19"/>
          <w:lang w:val="en-US"/>
        </w:rPr>
        <w:t>% increase for y-o-y</w:t>
      </w:r>
      <w:r w:rsidR="00216A0E">
        <w:rPr>
          <w:rFonts w:asciiTheme="minorHAnsi" w:hAnsiTheme="minorHAnsi"/>
          <w:sz w:val="19"/>
          <w:szCs w:val="19"/>
          <w:lang w:val="en-US"/>
        </w:rPr>
        <w:t xml:space="preserve">. </w:t>
      </w:r>
      <w:r w:rsidR="004368BC">
        <w:rPr>
          <w:rFonts w:asciiTheme="minorHAnsi" w:hAnsiTheme="minorHAnsi"/>
          <w:sz w:val="19"/>
          <w:szCs w:val="19"/>
          <w:lang w:val="en-US"/>
        </w:rPr>
        <w:t xml:space="preserve">On Eurozone, prices in </w:t>
      </w:r>
      <w:r w:rsidR="00266508">
        <w:rPr>
          <w:rFonts w:asciiTheme="minorHAnsi" w:hAnsiTheme="minorHAnsi"/>
          <w:sz w:val="19"/>
          <w:szCs w:val="19"/>
          <w:lang w:val="en-US"/>
        </w:rPr>
        <w:t>March</w:t>
      </w:r>
      <w:r w:rsidR="004368BC">
        <w:rPr>
          <w:rFonts w:asciiTheme="minorHAnsi" w:hAnsiTheme="minorHAnsi"/>
          <w:sz w:val="19"/>
          <w:szCs w:val="19"/>
          <w:lang w:val="en-US"/>
        </w:rPr>
        <w:t xml:space="preserve"> dropped by 0.</w:t>
      </w:r>
      <w:r w:rsidR="00266508">
        <w:rPr>
          <w:rFonts w:asciiTheme="minorHAnsi" w:hAnsiTheme="minorHAnsi"/>
          <w:sz w:val="19"/>
          <w:szCs w:val="19"/>
          <w:lang w:val="en-US"/>
        </w:rPr>
        <w:t>5% comparing to February, 12 month figure is 0.7</w:t>
      </w:r>
      <w:r w:rsidR="004368BC">
        <w:rPr>
          <w:rFonts w:asciiTheme="minorHAnsi" w:hAnsiTheme="minorHAnsi"/>
          <w:sz w:val="19"/>
          <w:szCs w:val="19"/>
          <w:lang w:val="en-US"/>
        </w:rPr>
        <w:t>%</w:t>
      </w:r>
      <w:r w:rsidR="00802CA2">
        <w:rPr>
          <w:rFonts w:asciiTheme="minorHAnsi" w:hAnsiTheme="minorHAnsi"/>
          <w:sz w:val="19"/>
          <w:szCs w:val="19"/>
          <w:lang w:val="en-US"/>
        </w:rPr>
        <w:t xml:space="preserve">. </w:t>
      </w:r>
      <w:r w:rsidR="004368BC">
        <w:rPr>
          <w:rFonts w:asciiTheme="minorHAnsi" w:hAnsiTheme="minorHAnsi"/>
          <w:sz w:val="19"/>
          <w:szCs w:val="19"/>
          <w:lang w:val="en-US"/>
        </w:rPr>
        <w:t>Other</w:t>
      </w:r>
      <w:r w:rsidR="00802CA2">
        <w:rPr>
          <w:rFonts w:asciiTheme="minorHAnsi" w:hAnsiTheme="minorHAnsi"/>
          <w:sz w:val="19"/>
          <w:szCs w:val="19"/>
          <w:lang w:val="en-US"/>
        </w:rPr>
        <w:t xml:space="preserve"> </w:t>
      </w:r>
      <w:r w:rsidR="004368BC">
        <w:rPr>
          <w:rFonts w:asciiTheme="minorHAnsi" w:hAnsiTheme="minorHAnsi"/>
          <w:sz w:val="19"/>
          <w:szCs w:val="19"/>
          <w:lang w:val="en-US"/>
        </w:rPr>
        <w:t xml:space="preserve">1Y </w:t>
      </w:r>
      <w:r w:rsidR="002C0D4B" w:rsidRPr="00FB31CF">
        <w:rPr>
          <w:rFonts w:asciiTheme="minorHAnsi" w:hAnsiTheme="minorHAnsi"/>
          <w:sz w:val="19"/>
          <w:szCs w:val="19"/>
          <w:lang w:val="en-US"/>
        </w:rPr>
        <w:t>CPI</w:t>
      </w:r>
      <w:r w:rsidR="00266508">
        <w:rPr>
          <w:rFonts w:asciiTheme="minorHAnsi" w:hAnsiTheme="minorHAnsi"/>
          <w:sz w:val="19"/>
          <w:szCs w:val="19"/>
          <w:lang w:val="en-US"/>
        </w:rPr>
        <w:t xml:space="preserve"> values for March</w:t>
      </w:r>
      <w:r w:rsidR="004368BC">
        <w:rPr>
          <w:rFonts w:asciiTheme="minorHAnsi" w:hAnsiTheme="minorHAnsi"/>
          <w:sz w:val="19"/>
          <w:szCs w:val="19"/>
          <w:lang w:val="en-US"/>
        </w:rPr>
        <w:t xml:space="preserve"> were</w:t>
      </w:r>
      <w:r w:rsidR="007378DD">
        <w:rPr>
          <w:rFonts w:asciiTheme="minorHAnsi" w:hAnsiTheme="minorHAnsi"/>
          <w:sz w:val="19"/>
          <w:szCs w:val="19"/>
          <w:lang w:val="en-US"/>
        </w:rPr>
        <w:t>:</w:t>
      </w:r>
      <w:r w:rsidR="008710E5" w:rsidRPr="00FB31CF">
        <w:rPr>
          <w:rFonts w:asciiTheme="minorHAnsi" w:hAnsiTheme="minorHAnsi"/>
          <w:sz w:val="19"/>
          <w:szCs w:val="19"/>
          <w:lang w:val="en-US"/>
        </w:rPr>
        <w:t xml:space="preserve"> Russia </w:t>
      </w:r>
      <w:r w:rsidR="004368BC">
        <w:rPr>
          <w:rFonts w:asciiTheme="minorHAnsi" w:hAnsiTheme="minorHAnsi"/>
          <w:sz w:val="19"/>
          <w:szCs w:val="19"/>
          <w:lang w:val="en-US"/>
        </w:rPr>
        <w:t>2</w:t>
      </w:r>
      <w:r w:rsidR="002D2BCA">
        <w:rPr>
          <w:rFonts w:asciiTheme="minorHAnsi" w:hAnsiTheme="minorHAnsi"/>
          <w:sz w:val="19"/>
          <w:szCs w:val="19"/>
          <w:lang w:val="en-US"/>
        </w:rPr>
        <w:t>.</w:t>
      </w:r>
      <w:r w:rsidR="00266508">
        <w:rPr>
          <w:rFonts w:asciiTheme="minorHAnsi" w:hAnsiTheme="minorHAnsi"/>
          <w:sz w:val="19"/>
          <w:szCs w:val="19"/>
          <w:lang w:val="en-US"/>
        </w:rPr>
        <w:t>55</w:t>
      </w:r>
      <w:r w:rsidR="00680F3E" w:rsidRPr="00FB31CF">
        <w:rPr>
          <w:rFonts w:asciiTheme="minorHAnsi" w:hAnsiTheme="minorHAnsi"/>
          <w:sz w:val="19"/>
          <w:szCs w:val="19"/>
          <w:lang w:val="en-US"/>
        </w:rPr>
        <w:t xml:space="preserve">%; </w:t>
      </w:r>
      <w:r w:rsidR="008710E5" w:rsidRPr="00FB31CF">
        <w:rPr>
          <w:rFonts w:asciiTheme="minorHAnsi" w:hAnsiTheme="minorHAnsi"/>
          <w:sz w:val="19"/>
          <w:szCs w:val="19"/>
          <w:lang w:val="en-US"/>
        </w:rPr>
        <w:t xml:space="preserve">for China </w:t>
      </w:r>
      <w:r w:rsidR="00266508">
        <w:rPr>
          <w:rFonts w:asciiTheme="minorHAnsi" w:hAnsiTheme="minorHAnsi"/>
          <w:sz w:val="19"/>
          <w:szCs w:val="19"/>
          <w:lang w:val="en-US"/>
        </w:rPr>
        <w:t>4</w:t>
      </w:r>
      <w:r w:rsidR="0004112D">
        <w:rPr>
          <w:rFonts w:asciiTheme="minorHAnsi" w:hAnsiTheme="minorHAnsi"/>
          <w:sz w:val="19"/>
          <w:szCs w:val="19"/>
          <w:lang w:val="en-US"/>
        </w:rPr>
        <w:t>.</w:t>
      </w:r>
      <w:r w:rsidR="00266508">
        <w:rPr>
          <w:rFonts w:asciiTheme="minorHAnsi" w:hAnsiTheme="minorHAnsi"/>
          <w:sz w:val="19"/>
          <w:szCs w:val="19"/>
          <w:lang w:val="en-US"/>
        </w:rPr>
        <w:t>3</w:t>
      </w:r>
      <w:r w:rsidR="00CD0473" w:rsidRPr="00FB31CF">
        <w:rPr>
          <w:rFonts w:asciiTheme="minorHAnsi" w:hAnsiTheme="minorHAnsi"/>
          <w:sz w:val="19"/>
          <w:szCs w:val="19"/>
          <w:lang w:val="en-GB"/>
        </w:rPr>
        <w:t>%</w:t>
      </w:r>
      <w:r w:rsidR="00012A0D" w:rsidRPr="00FB31CF">
        <w:rPr>
          <w:rFonts w:asciiTheme="minorHAnsi" w:hAnsiTheme="minorHAnsi"/>
          <w:sz w:val="19"/>
          <w:szCs w:val="19"/>
          <w:lang w:val="en-US"/>
        </w:rPr>
        <w:t>,</w:t>
      </w:r>
      <w:r w:rsidR="008710E5" w:rsidRPr="00FB31CF">
        <w:rPr>
          <w:rFonts w:asciiTheme="minorHAnsi" w:hAnsiTheme="minorHAnsi"/>
          <w:sz w:val="19"/>
          <w:szCs w:val="19"/>
          <w:lang w:val="en-US"/>
        </w:rPr>
        <w:t xml:space="preserve"> Brazil </w:t>
      </w:r>
      <w:r w:rsidR="00266508">
        <w:rPr>
          <w:rFonts w:asciiTheme="minorHAnsi" w:hAnsiTheme="minorHAnsi"/>
          <w:sz w:val="19"/>
          <w:szCs w:val="19"/>
          <w:lang w:val="en-US"/>
        </w:rPr>
        <w:t>3</w:t>
      </w:r>
      <w:r w:rsidR="004368BC">
        <w:rPr>
          <w:rFonts w:asciiTheme="minorHAnsi" w:hAnsiTheme="minorHAnsi"/>
          <w:sz w:val="19"/>
          <w:szCs w:val="19"/>
          <w:lang w:val="en-US"/>
        </w:rPr>
        <w:t>.</w:t>
      </w:r>
      <w:r w:rsidR="00266508">
        <w:rPr>
          <w:rFonts w:asciiTheme="minorHAnsi" w:hAnsiTheme="minorHAnsi"/>
          <w:sz w:val="19"/>
          <w:szCs w:val="19"/>
          <w:lang w:val="en-US"/>
        </w:rPr>
        <w:t>3</w:t>
      </w:r>
      <w:r w:rsidR="004368BC">
        <w:rPr>
          <w:rFonts w:asciiTheme="minorHAnsi" w:hAnsiTheme="minorHAnsi"/>
          <w:sz w:val="19"/>
          <w:szCs w:val="19"/>
          <w:lang w:val="en-GB"/>
        </w:rPr>
        <w:t>%</w:t>
      </w:r>
      <w:r w:rsidR="005F3D98" w:rsidRPr="00FB31CF">
        <w:rPr>
          <w:rFonts w:asciiTheme="minorHAnsi" w:hAnsiTheme="minorHAnsi"/>
          <w:sz w:val="19"/>
          <w:szCs w:val="19"/>
          <w:lang w:val="en-US"/>
        </w:rPr>
        <w:t>.</w:t>
      </w:r>
    </w:p>
    <w:p w14:paraId="1C71F293" w14:textId="52D9EE64" w:rsidR="003E6ECA" w:rsidRPr="00FB31CF" w:rsidRDefault="00172851" w:rsidP="00A61B5F">
      <w:pPr>
        <w:numPr>
          <w:ilvl w:val="0"/>
          <w:numId w:val="1"/>
        </w:numPr>
        <w:spacing w:after="120" w:line="240" w:lineRule="auto"/>
        <w:ind w:left="357" w:hanging="357"/>
        <w:jc w:val="both"/>
        <w:rPr>
          <w:rFonts w:asciiTheme="minorHAnsi" w:hAnsiTheme="minorHAnsi"/>
          <w:b/>
          <w:sz w:val="19"/>
          <w:szCs w:val="19"/>
          <w:lang w:val="en-US"/>
        </w:rPr>
      </w:pPr>
      <w:r w:rsidRPr="00F97C6E">
        <w:rPr>
          <w:rFonts w:asciiTheme="minorHAnsi" w:hAnsiTheme="minorHAnsi"/>
          <w:b/>
          <w:sz w:val="19"/>
          <w:szCs w:val="19"/>
          <w:lang w:val="en-US"/>
        </w:rPr>
        <w:t xml:space="preserve">Central bank interest </w:t>
      </w:r>
      <w:r w:rsidRPr="006D6185">
        <w:rPr>
          <w:rFonts w:asciiTheme="minorHAnsi" w:hAnsiTheme="minorHAnsi"/>
          <w:b/>
          <w:sz w:val="19"/>
          <w:szCs w:val="19"/>
          <w:lang w:val="en-US"/>
        </w:rPr>
        <w:t>rates:</w:t>
      </w:r>
      <w:r w:rsidR="005451CE" w:rsidRPr="006D6185">
        <w:rPr>
          <w:rFonts w:asciiTheme="minorHAnsi" w:hAnsiTheme="minorHAnsi"/>
          <w:b/>
          <w:sz w:val="19"/>
          <w:szCs w:val="19"/>
          <w:lang w:val="en-US"/>
        </w:rPr>
        <w:t xml:space="preserve"> </w:t>
      </w:r>
      <w:r w:rsidR="007041F0">
        <w:rPr>
          <w:rFonts w:asciiTheme="minorHAnsi" w:hAnsiTheme="minorHAnsi"/>
          <w:sz w:val="19"/>
          <w:szCs w:val="19"/>
          <w:lang w:val="en-US"/>
        </w:rPr>
        <w:t>Central Banks around the world had same response to financial crisis happened in March, slashed the interest rates and pledged historical high asset purchasing programs</w:t>
      </w:r>
      <w:r w:rsidR="00E026A3">
        <w:rPr>
          <w:rFonts w:asciiTheme="minorHAnsi" w:hAnsiTheme="minorHAnsi"/>
          <w:sz w:val="19"/>
          <w:szCs w:val="19"/>
          <w:lang w:val="en-US"/>
        </w:rPr>
        <w:t>.</w:t>
      </w:r>
      <w:r w:rsidR="007041F0">
        <w:rPr>
          <w:rFonts w:asciiTheme="minorHAnsi" w:hAnsiTheme="minorHAnsi"/>
          <w:sz w:val="19"/>
          <w:szCs w:val="19"/>
          <w:lang w:val="en-US"/>
        </w:rPr>
        <w:t xml:space="preserve"> FED and ECB didn’t change key interest rates, which remains 0% and -0.5% respectively, while Chinese Central Bank further decrease it by 20bps</w:t>
      </w:r>
      <w:r w:rsidR="00E749E9">
        <w:rPr>
          <w:rFonts w:asciiTheme="minorHAnsi" w:hAnsiTheme="minorHAnsi"/>
          <w:sz w:val="19"/>
          <w:szCs w:val="19"/>
          <w:lang w:val="en-US"/>
        </w:rPr>
        <w:t xml:space="preserve"> to 2.95%</w:t>
      </w:r>
      <w:r w:rsidR="007041F0">
        <w:rPr>
          <w:rFonts w:asciiTheme="minorHAnsi" w:hAnsiTheme="minorHAnsi"/>
          <w:sz w:val="19"/>
          <w:szCs w:val="19"/>
          <w:lang w:val="en-US"/>
        </w:rPr>
        <w:t>.</w:t>
      </w:r>
      <w:r w:rsidR="00DB5480" w:rsidRPr="00FB31CF">
        <w:rPr>
          <w:rFonts w:asciiTheme="minorHAnsi" w:hAnsiTheme="minorHAnsi"/>
          <w:b/>
          <w:sz w:val="19"/>
          <w:szCs w:val="19"/>
          <w:lang w:val="en-US"/>
        </w:rPr>
        <w:t xml:space="preserve"> </w:t>
      </w:r>
    </w:p>
    <w:p w14:paraId="5A73C219" w14:textId="30004763" w:rsidR="00BD78F0" w:rsidRPr="00FB31CF" w:rsidRDefault="00920E3A" w:rsidP="00A61B5F">
      <w:pPr>
        <w:numPr>
          <w:ilvl w:val="0"/>
          <w:numId w:val="1"/>
        </w:numPr>
        <w:spacing w:after="120" w:line="240" w:lineRule="auto"/>
        <w:ind w:left="283" w:hanging="357"/>
        <w:jc w:val="both"/>
        <w:rPr>
          <w:rFonts w:asciiTheme="minorHAnsi" w:hAnsiTheme="minorHAnsi"/>
          <w:sz w:val="19"/>
          <w:szCs w:val="19"/>
          <w:lang w:val="en-US"/>
        </w:rPr>
      </w:pPr>
      <w:r w:rsidRPr="00FB31CF">
        <w:rPr>
          <w:rFonts w:asciiTheme="minorHAnsi" w:hAnsiTheme="minorHAnsi"/>
          <w:b/>
          <w:sz w:val="19"/>
          <w:szCs w:val="19"/>
          <w:lang w:val="en-US"/>
        </w:rPr>
        <w:t>Capital market rates:</w:t>
      </w:r>
      <w:r w:rsidR="005569EE" w:rsidRPr="00FB31CF">
        <w:rPr>
          <w:rFonts w:asciiTheme="minorHAnsi" w:hAnsiTheme="minorHAnsi"/>
          <w:sz w:val="19"/>
          <w:szCs w:val="19"/>
          <w:lang w:val="en-US"/>
        </w:rPr>
        <w:t xml:space="preserve"> </w:t>
      </w:r>
      <w:r w:rsidR="007041F0">
        <w:rPr>
          <w:rFonts w:asciiTheme="minorHAnsi" w:hAnsiTheme="minorHAnsi"/>
          <w:sz w:val="19"/>
          <w:szCs w:val="19"/>
          <w:lang w:val="en-US"/>
        </w:rPr>
        <w:t>Volatility and demand on bond market was cooling down in April</w:t>
      </w:r>
      <w:r w:rsidR="00B572CD">
        <w:rPr>
          <w:rFonts w:asciiTheme="minorHAnsi" w:hAnsiTheme="minorHAnsi"/>
          <w:sz w:val="19"/>
          <w:szCs w:val="19"/>
          <w:lang w:val="en-US"/>
        </w:rPr>
        <w:t>.</w:t>
      </w:r>
      <w:r w:rsidR="007041F0">
        <w:rPr>
          <w:rFonts w:asciiTheme="minorHAnsi" w:hAnsiTheme="minorHAnsi"/>
          <w:sz w:val="19"/>
          <w:szCs w:val="19"/>
          <w:lang w:val="en-US"/>
        </w:rPr>
        <w:t xml:space="preserve"> Rebound on equity market alongside with </w:t>
      </w:r>
      <w:r w:rsidR="004D6CF2">
        <w:rPr>
          <w:rFonts w:asciiTheme="minorHAnsi" w:hAnsiTheme="minorHAnsi"/>
          <w:sz w:val="19"/>
          <w:szCs w:val="19"/>
          <w:lang w:val="en-US"/>
        </w:rPr>
        <w:t xml:space="preserve">predictable monetary response made 10Y US Treasuries to trade in narrow 0.6-0.8% range in April. 10Y Bund changed hands in slightly wider corridor but still with negative yields between -0.25% and -0.6%. </w:t>
      </w:r>
      <w:r w:rsidR="00C93667" w:rsidRPr="00FB31CF">
        <w:rPr>
          <w:rFonts w:asciiTheme="minorHAnsi" w:hAnsiTheme="minorHAnsi"/>
          <w:sz w:val="19"/>
          <w:szCs w:val="19"/>
          <w:lang w:val="en-US"/>
        </w:rPr>
        <w:t xml:space="preserve"> </w:t>
      </w:r>
    </w:p>
    <w:p w14:paraId="25EA2AFA" w14:textId="77777777" w:rsidR="003F3805" w:rsidRPr="00FB31CF" w:rsidRDefault="003F3805" w:rsidP="003F3805">
      <w:pPr>
        <w:spacing w:after="120" w:line="240" w:lineRule="auto"/>
        <w:rPr>
          <w:rFonts w:asciiTheme="minorHAnsi" w:hAnsiTheme="minorHAnsi"/>
          <w:b/>
          <w:sz w:val="20"/>
          <w:szCs w:val="20"/>
          <w:u w:val="single"/>
          <w:lang w:val="en-US"/>
        </w:rPr>
      </w:pPr>
      <w:r w:rsidRPr="00724B14">
        <w:rPr>
          <w:rFonts w:asciiTheme="minorHAnsi" w:hAnsiTheme="minorHAnsi"/>
          <w:b/>
          <w:color w:val="AA1639"/>
          <w:sz w:val="20"/>
          <w:szCs w:val="20"/>
          <w:u w:val="single"/>
          <w:lang w:val="en-US"/>
        </w:rPr>
        <w:t>Tactical Asset Allocation</w:t>
      </w:r>
    </w:p>
    <w:p w14:paraId="237F6FE5" w14:textId="30872480" w:rsidR="003F3805" w:rsidRPr="00FB31CF" w:rsidRDefault="003F3805" w:rsidP="003F3805">
      <w:pPr>
        <w:numPr>
          <w:ilvl w:val="0"/>
          <w:numId w:val="1"/>
        </w:numPr>
        <w:spacing w:after="120" w:line="240" w:lineRule="auto"/>
        <w:ind w:left="284" w:hanging="284"/>
        <w:jc w:val="both"/>
        <w:rPr>
          <w:rFonts w:asciiTheme="minorHAnsi" w:hAnsiTheme="minorHAnsi"/>
          <w:b/>
          <w:sz w:val="19"/>
          <w:szCs w:val="19"/>
          <w:lang w:val="en-US"/>
        </w:rPr>
      </w:pPr>
      <w:r w:rsidRPr="00FB31CF">
        <w:rPr>
          <w:rFonts w:asciiTheme="minorHAnsi" w:hAnsiTheme="minorHAnsi"/>
          <w:b/>
          <w:sz w:val="19"/>
          <w:szCs w:val="19"/>
          <w:lang w:val="en-US"/>
        </w:rPr>
        <w:t xml:space="preserve">Forex: </w:t>
      </w:r>
      <w:r w:rsidR="00757F71">
        <w:rPr>
          <w:rFonts w:asciiTheme="minorHAnsi" w:hAnsiTheme="minorHAnsi"/>
          <w:sz w:val="19"/>
          <w:szCs w:val="19"/>
          <w:lang w:val="en-US"/>
        </w:rPr>
        <w:t>After two months of strong movements in both direction, EUR/USD pair is stabilized in 1.08 – 1.10 range, ending month on upper bound. While monetary response was to some extent higher in US, Euro is facing depreciation pressures from lack of political consensus for coronavirus measures, so overall impact is neutral.</w:t>
      </w:r>
      <w:r w:rsidR="00962797">
        <w:rPr>
          <w:rFonts w:asciiTheme="minorHAnsi" w:hAnsiTheme="minorHAnsi"/>
          <w:sz w:val="19"/>
          <w:szCs w:val="19"/>
          <w:lang w:val="en-US"/>
        </w:rPr>
        <w:t xml:space="preserve"> </w:t>
      </w:r>
    </w:p>
    <w:p w14:paraId="6AF46B12" w14:textId="74F5713B" w:rsidR="00F12D0D" w:rsidRPr="00B53BD7" w:rsidRDefault="00920E3A" w:rsidP="00B53BD7">
      <w:pPr>
        <w:numPr>
          <w:ilvl w:val="0"/>
          <w:numId w:val="1"/>
        </w:numPr>
        <w:spacing w:after="120" w:line="240" w:lineRule="auto"/>
        <w:ind w:left="284" w:hanging="284"/>
        <w:jc w:val="both"/>
        <w:rPr>
          <w:rFonts w:asciiTheme="minorHAnsi" w:hAnsiTheme="minorHAnsi"/>
          <w:sz w:val="19"/>
          <w:szCs w:val="19"/>
          <w:lang w:val="en-US"/>
        </w:rPr>
      </w:pPr>
      <w:r w:rsidRPr="00FB31CF">
        <w:rPr>
          <w:rFonts w:asciiTheme="minorHAnsi" w:hAnsiTheme="minorHAnsi"/>
          <w:b/>
          <w:sz w:val="19"/>
          <w:szCs w:val="19"/>
          <w:lang w:val="en-US"/>
        </w:rPr>
        <w:t>Bonds incl. High Yields (</w:t>
      </w:r>
      <w:r w:rsidR="001F029F">
        <w:rPr>
          <w:rFonts w:asciiTheme="minorHAnsi" w:hAnsiTheme="minorHAnsi"/>
          <w:b/>
          <w:sz w:val="19"/>
          <w:szCs w:val="19"/>
          <w:lang w:val="en-US"/>
        </w:rPr>
        <w:t>U</w:t>
      </w:r>
      <w:r w:rsidR="00593AEC" w:rsidRPr="00FB31CF">
        <w:rPr>
          <w:rStyle w:val="EndnoteReference"/>
          <w:rFonts w:asciiTheme="minorHAnsi" w:hAnsiTheme="minorHAnsi"/>
          <w:b/>
          <w:sz w:val="19"/>
          <w:szCs w:val="19"/>
          <w:lang w:val="en-US"/>
        </w:rPr>
        <w:endnoteReference w:id="1"/>
      </w:r>
      <w:r w:rsidRPr="00FB31CF">
        <w:rPr>
          <w:rFonts w:asciiTheme="minorHAnsi" w:hAnsiTheme="minorHAnsi"/>
          <w:b/>
          <w:sz w:val="19"/>
          <w:szCs w:val="19"/>
          <w:lang w:val="en-US"/>
        </w:rPr>
        <w:t>):</w:t>
      </w:r>
      <w:r w:rsidR="0047652E" w:rsidRPr="00FB31CF">
        <w:rPr>
          <w:rFonts w:asciiTheme="minorHAnsi" w:hAnsiTheme="minorHAnsi"/>
          <w:b/>
          <w:sz w:val="19"/>
          <w:szCs w:val="19"/>
          <w:lang w:val="en-US"/>
        </w:rPr>
        <w:t xml:space="preserve"> </w:t>
      </w:r>
      <w:r w:rsidR="00C93667" w:rsidRPr="0011534B">
        <w:rPr>
          <w:rFonts w:asciiTheme="minorHAnsi" w:hAnsiTheme="minorHAnsi"/>
          <w:sz w:val="19"/>
          <w:szCs w:val="19"/>
          <w:lang w:val="en-US"/>
        </w:rPr>
        <w:t>Since</w:t>
      </w:r>
      <w:r w:rsidR="0092632C" w:rsidRPr="0011534B">
        <w:rPr>
          <w:rFonts w:asciiTheme="minorHAnsi" w:hAnsiTheme="minorHAnsi"/>
          <w:sz w:val="19"/>
          <w:szCs w:val="19"/>
          <w:lang w:val="en-US"/>
        </w:rPr>
        <w:t xml:space="preserve"> near-zero</w:t>
      </w:r>
      <w:r w:rsidR="00796E81" w:rsidRPr="0011534B">
        <w:rPr>
          <w:rFonts w:asciiTheme="minorHAnsi" w:hAnsiTheme="minorHAnsi"/>
          <w:sz w:val="19"/>
          <w:szCs w:val="19"/>
          <w:lang w:val="en-US"/>
        </w:rPr>
        <w:t>/negative policy rates</w:t>
      </w:r>
      <w:r w:rsidR="0092632C" w:rsidRPr="0011534B">
        <w:rPr>
          <w:rFonts w:asciiTheme="minorHAnsi" w:hAnsiTheme="minorHAnsi"/>
          <w:sz w:val="19"/>
          <w:szCs w:val="19"/>
          <w:lang w:val="en-US"/>
        </w:rPr>
        <w:t xml:space="preserve"> and negative real rates </w:t>
      </w:r>
      <w:r w:rsidR="00796E81" w:rsidRPr="0011534B">
        <w:rPr>
          <w:rFonts w:asciiTheme="minorHAnsi" w:hAnsiTheme="minorHAnsi"/>
          <w:sz w:val="19"/>
          <w:szCs w:val="19"/>
          <w:lang w:val="en-US"/>
        </w:rPr>
        <w:t xml:space="preserve">are seen persisting </w:t>
      </w:r>
      <w:r w:rsidR="0092632C" w:rsidRPr="0011534B">
        <w:rPr>
          <w:rFonts w:asciiTheme="minorHAnsi" w:hAnsiTheme="minorHAnsi"/>
          <w:sz w:val="19"/>
          <w:szCs w:val="19"/>
          <w:lang w:val="en-US"/>
        </w:rPr>
        <w:t xml:space="preserve">in </w:t>
      </w:r>
      <w:r w:rsidR="00464386" w:rsidRPr="0011534B">
        <w:rPr>
          <w:rFonts w:asciiTheme="minorHAnsi" w:hAnsiTheme="minorHAnsi"/>
          <w:sz w:val="19"/>
          <w:szCs w:val="19"/>
          <w:lang w:val="en-US"/>
        </w:rPr>
        <w:t>Europe for several years, we continue investing in up to</w:t>
      </w:r>
      <w:r w:rsidR="00B53BD7">
        <w:rPr>
          <w:rFonts w:asciiTheme="minorHAnsi" w:hAnsiTheme="minorHAnsi"/>
          <w:sz w:val="19"/>
          <w:szCs w:val="19"/>
          <w:lang w:val="en-US"/>
        </w:rPr>
        <w:t xml:space="preserve"> </w:t>
      </w:r>
      <w:r w:rsidR="00785BE6" w:rsidRPr="00B53BD7">
        <w:rPr>
          <w:rFonts w:asciiTheme="minorHAnsi" w:hAnsiTheme="minorHAnsi"/>
          <w:sz w:val="19"/>
          <w:szCs w:val="19"/>
          <w:lang w:val="en-US"/>
        </w:rPr>
        <w:t>202</w:t>
      </w:r>
      <w:r w:rsidR="00520A37" w:rsidRPr="00B53BD7">
        <w:rPr>
          <w:rFonts w:asciiTheme="minorHAnsi" w:hAnsiTheme="minorHAnsi"/>
          <w:sz w:val="19"/>
          <w:szCs w:val="19"/>
          <w:lang w:val="en-US"/>
        </w:rPr>
        <w:t>8</w:t>
      </w:r>
      <w:r w:rsidR="0092632C" w:rsidRPr="00B53BD7">
        <w:rPr>
          <w:rFonts w:asciiTheme="minorHAnsi" w:hAnsiTheme="minorHAnsi"/>
          <w:sz w:val="19"/>
          <w:szCs w:val="19"/>
          <w:lang w:val="en-US"/>
        </w:rPr>
        <w:t xml:space="preserve"> maturities </w:t>
      </w:r>
      <w:r w:rsidR="0094138C" w:rsidRPr="00B53BD7">
        <w:rPr>
          <w:rFonts w:asciiTheme="minorHAnsi" w:hAnsiTheme="minorHAnsi"/>
          <w:sz w:val="19"/>
          <w:szCs w:val="19"/>
          <w:lang w:val="en-US"/>
        </w:rPr>
        <w:t xml:space="preserve">of European </w:t>
      </w:r>
      <w:r w:rsidR="00D3687F" w:rsidRPr="00B53BD7">
        <w:rPr>
          <w:rFonts w:asciiTheme="minorHAnsi" w:hAnsiTheme="minorHAnsi"/>
          <w:sz w:val="19"/>
          <w:szCs w:val="19"/>
          <w:lang w:val="en-US"/>
        </w:rPr>
        <w:t xml:space="preserve">DM </w:t>
      </w:r>
      <w:r w:rsidR="0094138C" w:rsidRPr="00B53BD7">
        <w:rPr>
          <w:rFonts w:asciiTheme="minorHAnsi" w:hAnsiTheme="minorHAnsi"/>
          <w:sz w:val="19"/>
          <w:szCs w:val="19"/>
          <w:lang w:val="en-US"/>
        </w:rPr>
        <w:t xml:space="preserve">bonds </w:t>
      </w:r>
      <w:r w:rsidR="0033434F" w:rsidRPr="00B53BD7">
        <w:rPr>
          <w:rFonts w:asciiTheme="minorHAnsi" w:hAnsiTheme="minorHAnsi"/>
          <w:sz w:val="19"/>
          <w:szCs w:val="19"/>
          <w:lang w:val="en-US"/>
        </w:rPr>
        <w:t>to improve yield and look for US</w:t>
      </w:r>
      <w:r w:rsidR="000F7566">
        <w:rPr>
          <w:rFonts w:asciiTheme="minorHAnsi" w:hAnsiTheme="minorHAnsi"/>
          <w:sz w:val="19"/>
          <w:szCs w:val="19"/>
          <w:lang w:val="en-US"/>
        </w:rPr>
        <w:t>D bonds with shorter maturities.</w:t>
      </w:r>
    </w:p>
    <w:p w14:paraId="3DBC8B4C" w14:textId="73DCF052" w:rsidR="00AE5497" w:rsidRDefault="00920E3A" w:rsidP="00F42A12">
      <w:pPr>
        <w:numPr>
          <w:ilvl w:val="0"/>
          <w:numId w:val="1"/>
        </w:numPr>
        <w:spacing w:before="240" w:after="120" w:line="240" w:lineRule="auto"/>
        <w:ind w:left="284" w:hanging="284"/>
        <w:jc w:val="both"/>
        <w:rPr>
          <w:rFonts w:asciiTheme="minorHAnsi" w:hAnsiTheme="minorHAnsi"/>
          <w:sz w:val="19"/>
          <w:szCs w:val="19"/>
          <w:lang w:val="en-US"/>
        </w:rPr>
      </w:pPr>
      <w:r w:rsidRPr="0079773C">
        <w:rPr>
          <w:rFonts w:asciiTheme="minorHAnsi" w:hAnsiTheme="minorHAnsi"/>
          <w:b/>
          <w:sz w:val="19"/>
          <w:szCs w:val="19"/>
          <w:lang w:val="en-US"/>
        </w:rPr>
        <w:t xml:space="preserve">Equities </w:t>
      </w:r>
      <w:r w:rsidRPr="0079773C">
        <w:rPr>
          <w:rFonts w:asciiTheme="minorHAnsi" w:hAnsiTheme="minorHAnsi"/>
          <w:b/>
          <w:sz w:val="19"/>
          <w:szCs w:val="19"/>
          <w:lang w:val="en-GB"/>
        </w:rPr>
        <w:t>(</w:t>
      </w:r>
      <w:r w:rsidR="00E749E9">
        <w:rPr>
          <w:rFonts w:asciiTheme="minorHAnsi" w:hAnsiTheme="minorHAnsi"/>
          <w:b/>
          <w:sz w:val="19"/>
          <w:szCs w:val="19"/>
          <w:lang w:val="en-GB"/>
        </w:rPr>
        <w:t>O</w:t>
      </w:r>
      <w:r w:rsidRPr="0079773C">
        <w:rPr>
          <w:rFonts w:asciiTheme="minorHAnsi" w:hAnsiTheme="minorHAnsi"/>
          <w:b/>
          <w:sz w:val="19"/>
          <w:szCs w:val="19"/>
          <w:lang w:val="en-US"/>
        </w:rPr>
        <w:t>):</w:t>
      </w:r>
      <w:r w:rsidR="005A200C">
        <w:rPr>
          <w:rFonts w:asciiTheme="minorHAnsi" w:hAnsiTheme="minorHAnsi"/>
          <w:b/>
          <w:sz w:val="19"/>
          <w:szCs w:val="19"/>
          <w:lang w:val="en-US"/>
        </w:rPr>
        <w:t xml:space="preserve"> </w:t>
      </w:r>
      <w:r w:rsidR="00757F71">
        <w:rPr>
          <w:rFonts w:asciiTheme="minorHAnsi" w:hAnsiTheme="minorHAnsi"/>
          <w:sz w:val="19"/>
          <w:szCs w:val="19"/>
          <w:lang w:val="en-US"/>
        </w:rPr>
        <w:t xml:space="preserve">Bull-run on global markets started in third week of March, continued on April where S&amp;P recovered 12.5%. </w:t>
      </w:r>
      <w:r w:rsidR="00AD558E">
        <w:rPr>
          <w:rFonts w:asciiTheme="minorHAnsi" w:hAnsiTheme="minorHAnsi"/>
          <w:sz w:val="19"/>
          <w:szCs w:val="19"/>
          <w:lang w:val="en-US"/>
        </w:rPr>
        <w:t>DAX also posted almost double digit growth, but Eurozone markets are still trailing Americans by significant margin. Difference between performances of those two indices is 8%, observing from the beginning of the year.</w:t>
      </w:r>
      <w:r w:rsidR="00757F71">
        <w:rPr>
          <w:rFonts w:asciiTheme="minorHAnsi" w:hAnsiTheme="minorHAnsi"/>
          <w:sz w:val="19"/>
          <w:szCs w:val="19"/>
          <w:lang w:val="en-US"/>
        </w:rPr>
        <w:t xml:space="preserve"> </w:t>
      </w:r>
    </w:p>
    <w:p w14:paraId="0538C2E5" w14:textId="5A81CFC7" w:rsidR="006F1436" w:rsidRPr="00AE5497" w:rsidRDefault="00920E3A" w:rsidP="00AE5497">
      <w:pPr>
        <w:numPr>
          <w:ilvl w:val="0"/>
          <w:numId w:val="1"/>
        </w:numPr>
        <w:spacing w:after="120" w:line="240" w:lineRule="auto"/>
        <w:ind w:left="284" w:hanging="284"/>
        <w:jc w:val="both"/>
        <w:rPr>
          <w:rFonts w:asciiTheme="minorHAnsi" w:hAnsiTheme="minorHAnsi"/>
          <w:sz w:val="19"/>
          <w:szCs w:val="19"/>
          <w:lang w:val="en-US"/>
        </w:rPr>
      </w:pPr>
      <w:r w:rsidRPr="00AE5497">
        <w:rPr>
          <w:rFonts w:asciiTheme="minorHAnsi" w:hAnsiTheme="minorHAnsi"/>
          <w:b/>
          <w:sz w:val="19"/>
          <w:szCs w:val="19"/>
          <w:lang w:val="en-US"/>
        </w:rPr>
        <w:t>Commodities (</w:t>
      </w:r>
      <w:r w:rsidR="00E749E9">
        <w:rPr>
          <w:rFonts w:asciiTheme="minorHAnsi" w:hAnsiTheme="minorHAnsi"/>
          <w:b/>
          <w:sz w:val="19"/>
          <w:szCs w:val="19"/>
          <w:lang w:val="en-US"/>
        </w:rPr>
        <w:t>U</w:t>
      </w:r>
      <w:r w:rsidRPr="00AE5497">
        <w:rPr>
          <w:rFonts w:asciiTheme="minorHAnsi" w:hAnsiTheme="minorHAnsi"/>
          <w:b/>
          <w:sz w:val="19"/>
          <w:szCs w:val="19"/>
          <w:lang w:val="en-US"/>
        </w:rPr>
        <w:t>):</w:t>
      </w:r>
      <w:r w:rsidR="00AD558E">
        <w:rPr>
          <w:rFonts w:asciiTheme="minorHAnsi" w:hAnsiTheme="minorHAnsi"/>
          <w:sz w:val="19"/>
          <w:szCs w:val="19"/>
          <w:lang w:val="en-US"/>
        </w:rPr>
        <w:t xml:space="preserve"> After fiasco of OPEC+ meeting in March, increase in supply coupled with decrease of demand pushed futures on May oil contracts into negative territory for the first time in </w:t>
      </w:r>
      <w:r w:rsidR="00E749E9">
        <w:rPr>
          <w:rFonts w:asciiTheme="minorHAnsi" w:hAnsiTheme="minorHAnsi"/>
          <w:sz w:val="19"/>
          <w:szCs w:val="19"/>
          <w:lang w:val="en-US"/>
        </w:rPr>
        <w:t xml:space="preserve">more than 100 years </w:t>
      </w:r>
      <w:r w:rsidR="00AD558E">
        <w:rPr>
          <w:rFonts w:asciiTheme="minorHAnsi" w:hAnsiTheme="minorHAnsi"/>
          <w:sz w:val="19"/>
          <w:szCs w:val="19"/>
          <w:lang w:val="en-US"/>
        </w:rPr>
        <w:t>history for brief period</w:t>
      </w:r>
      <w:r w:rsidR="001D6424">
        <w:rPr>
          <w:rFonts w:asciiTheme="minorHAnsi" w:hAnsiTheme="minorHAnsi"/>
          <w:sz w:val="19"/>
          <w:szCs w:val="19"/>
          <w:lang w:val="en-US"/>
        </w:rPr>
        <w:t>.</w:t>
      </w:r>
      <w:r w:rsidR="00AD558E">
        <w:rPr>
          <w:rFonts w:asciiTheme="minorHAnsi" w:hAnsiTheme="minorHAnsi"/>
          <w:sz w:val="19"/>
          <w:szCs w:val="19"/>
          <w:lang w:val="en-US"/>
        </w:rPr>
        <w:t xml:space="preserve"> However, agreement between Russia and Saudi Arabia for cutting production starting from 1</w:t>
      </w:r>
      <w:r w:rsidR="00AD558E" w:rsidRPr="00AD558E">
        <w:rPr>
          <w:rFonts w:asciiTheme="minorHAnsi" w:hAnsiTheme="minorHAnsi"/>
          <w:sz w:val="19"/>
          <w:szCs w:val="19"/>
          <w:vertAlign w:val="superscript"/>
          <w:lang w:val="en-US"/>
        </w:rPr>
        <w:t>st</w:t>
      </w:r>
      <w:r w:rsidR="00AD558E">
        <w:rPr>
          <w:rFonts w:asciiTheme="minorHAnsi" w:hAnsiTheme="minorHAnsi"/>
          <w:sz w:val="19"/>
          <w:szCs w:val="19"/>
          <w:lang w:val="en-US"/>
        </w:rPr>
        <w:t xml:space="preserve"> May helped to recover price, which is $20/barrel on end of the April. </w:t>
      </w:r>
    </w:p>
    <w:p w14:paraId="6D998E53" w14:textId="77777777" w:rsidR="00E3519F" w:rsidRPr="00F97C6E" w:rsidRDefault="00E3519F" w:rsidP="00F42A12">
      <w:pPr>
        <w:spacing w:after="120" w:line="264" w:lineRule="auto"/>
        <w:ind w:firstLine="6"/>
        <w:jc w:val="both"/>
        <w:rPr>
          <w:rFonts w:ascii="Palatino" w:hAnsi="Palatino"/>
          <w:b/>
          <w:color w:val="AA1639"/>
          <w:sz w:val="19"/>
          <w:szCs w:val="19"/>
          <w:u w:val="single"/>
          <w:lang w:val="en-US"/>
        </w:rPr>
      </w:pPr>
      <w:r w:rsidRPr="00F97C6E">
        <w:rPr>
          <w:rFonts w:asciiTheme="minorHAnsi" w:hAnsiTheme="minorHAnsi"/>
          <w:b/>
          <w:color w:val="AA1639"/>
          <w:sz w:val="19"/>
          <w:szCs w:val="19"/>
          <w:u w:val="single"/>
          <w:lang w:val="en-US"/>
        </w:rPr>
        <w:t>Investment Ideas</w:t>
      </w:r>
      <w:r w:rsidRPr="00F97C6E">
        <w:rPr>
          <w:rStyle w:val="EndnoteReference"/>
          <w:rFonts w:asciiTheme="minorHAnsi" w:hAnsiTheme="minorHAnsi"/>
          <w:color w:val="C00000"/>
          <w:sz w:val="19"/>
          <w:szCs w:val="19"/>
          <w:lang w:val="en-US"/>
        </w:rPr>
        <w:endnoteReference w:id="2"/>
      </w:r>
    </w:p>
    <w:p w14:paraId="36F5FCC4" w14:textId="54AE5018" w:rsidR="00F42A12" w:rsidRPr="00F42A12" w:rsidRDefault="00E749E9" w:rsidP="00F42A12">
      <w:pPr>
        <w:numPr>
          <w:ilvl w:val="0"/>
          <w:numId w:val="1"/>
        </w:numPr>
        <w:spacing w:after="0" w:line="240" w:lineRule="auto"/>
        <w:ind w:left="284" w:hanging="284"/>
        <w:jc w:val="both"/>
        <w:rPr>
          <w:rFonts w:asciiTheme="minorHAnsi" w:hAnsiTheme="minorHAnsi"/>
          <w:sz w:val="19"/>
          <w:szCs w:val="19"/>
          <w:lang w:val="en-US"/>
        </w:rPr>
      </w:pPr>
      <w:r>
        <w:rPr>
          <w:rFonts w:asciiTheme="minorHAnsi" w:hAnsiTheme="minorHAnsi"/>
          <w:sz w:val="19"/>
          <w:szCs w:val="19"/>
          <w:lang w:val="en-US"/>
        </w:rPr>
        <w:t>Markets around the world recovering from virus impact, so we decreased cash position and overweight Chinese equities because most of restrictions related to containing spread of corona are already lifted in China.</w:t>
      </w:r>
      <w:bookmarkStart w:id="0" w:name="_GoBack"/>
      <w:bookmarkEnd w:id="0"/>
    </w:p>
    <w:p w14:paraId="15EEB35D" w14:textId="536A83F2" w:rsidR="001346A2" w:rsidRDefault="001346A2" w:rsidP="00DA5D04">
      <w:pPr>
        <w:spacing w:after="0" w:line="240" w:lineRule="auto"/>
        <w:ind w:right="113"/>
        <w:jc w:val="both"/>
        <w:rPr>
          <w:noProof/>
          <w:sz w:val="12"/>
          <w:szCs w:val="12"/>
          <w:lang w:val="en-US" w:eastAsia="de-CH"/>
        </w:rPr>
      </w:pPr>
    </w:p>
    <w:p w14:paraId="0163A731" w14:textId="3C0B4270" w:rsidR="00F9235D" w:rsidRPr="001D6424" w:rsidRDefault="00823120" w:rsidP="00E13218">
      <w:pPr>
        <w:spacing w:after="0" w:line="240" w:lineRule="auto"/>
        <w:ind w:right="113"/>
        <w:jc w:val="both"/>
        <w:rPr>
          <w:noProof/>
          <w:sz w:val="12"/>
          <w:szCs w:val="12"/>
          <w:lang w:val="en-US" w:eastAsia="en-GB"/>
        </w:rPr>
      </w:pPr>
      <w:r w:rsidRPr="00D75B45">
        <w:rPr>
          <w:noProof/>
          <w:sz w:val="12"/>
          <w:szCs w:val="12"/>
          <w:lang w:val="en-GB" w:eastAsia="en-GB"/>
        </w:rPr>
        <w:t>Performance Equity Markets</w:t>
      </w:r>
      <w:r w:rsidR="005C3F17">
        <w:rPr>
          <w:noProof/>
          <w:sz w:val="12"/>
          <w:szCs w:val="12"/>
          <w:lang w:val="en-GB" w:eastAsia="en-GB"/>
        </w:rPr>
        <w:t xml:space="preserve"> MSCI World </w:t>
      </w:r>
      <w:r w:rsidR="004413A8">
        <w:rPr>
          <w:noProof/>
          <w:sz w:val="12"/>
          <w:szCs w:val="12"/>
          <w:lang w:val="en-GB" w:eastAsia="en-GB"/>
        </w:rPr>
        <w:t>12m</w:t>
      </w:r>
      <w:r w:rsidR="00800BF8">
        <w:rPr>
          <w:rStyle w:val="EndnoteReference"/>
          <w:noProof/>
          <w:sz w:val="12"/>
          <w:szCs w:val="12"/>
          <w:lang w:val="en-GB" w:eastAsia="en-GB"/>
        </w:rPr>
        <w:endnoteReference w:id="3"/>
      </w:r>
      <w:r w:rsidR="00221903">
        <w:rPr>
          <w:noProof/>
          <w:sz w:val="12"/>
          <w:szCs w:val="12"/>
          <w:lang w:val="en-GB" w:eastAsia="en-GB"/>
        </w:rPr>
        <w:t xml:space="preserve"> </w:t>
      </w:r>
      <w:r w:rsidR="00121DB7" w:rsidRPr="00121DB7">
        <w:rPr>
          <w:noProof/>
          <w:sz w:val="12"/>
          <w:szCs w:val="12"/>
          <w:lang w:val="en-US"/>
        </w:rPr>
        <w:drawing>
          <wp:inline distT="0" distB="0" distL="0" distR="0" wp14:anchorId="4156CF73" wp14:editId="6C925F65">
            <wp:extent cx="2924810" cy="2106181"/>
            <wp:effectExtent l="0" t="0" r="0" b="8890"/>
            <wp:docPr id="4" name="Picture 4" descr="M:\4_Marketing_Presentations (inkl EventMgt)\1_AC\Presentations\3_AC_PflioMgt\Charts for Presentation\mxwo april 2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4_Marketing_Presentations (inkl EventMgt)\1_AC\Presentations\3_AC_PflioMgt\Charts for Presentation\mxwo april 2020.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4810" cy="2106181"/>
                    </a:xfrm>
                    <a:prstGeom prst="rect">
                      <a:avLst/>
                    </a:prstGeom>
                    <a:noFill/>
                    <a:ln>
                      <a:noFill/>
                    </a:ln>
                  </pic:spPr>
                </pic:pic>
              </a:graphicData>
            </a:graphic>
          </wp:inline>
        </w:drawing>
      </w:r>
    </w:p>
    <w:p w14:paraId="6711C350" w14:textId="77777777" w:rsidR="00F42A12" w:rsidRDefault="00F42A12" w:rsidP="00E13218">
      <w:pPr>
        <w:spacing w:after="0" w:line="240" w:lineRule="auto"/>
        <w:ind w:right="113"/>
        <w:jc w:val="both"/>
        <w:rPr>
          <w:noProof/>
          <w:sz w:val="12"/>
          <w:szCs w:val="12"/>
          <w:lang w:val="en-GB" w:eastAsia="en-GB"/>
        </w:rPr>
      </w:pPr>
    </w:p>
    <w:p w14:paraId="2F7EBCF7" w14:textId="353F50DF" w:rsidR="00BB0AB2" w:rsidRPr="00121DB7" w:rsidRDefault="00121DB7" w:rsidP="00E13218">
      <w:pPr>
        <w:spacing w:after="0" w:line="240" w:lineRule="auto"/>
        <w:ind w:right="113"/>
        <w:jc w:val="both"/>
        <w:rPr>
          <w:noProof/>
          <w:sz w:val="12"/>
          <w:szCs w:val="12"/>
          <w:lang w:val="en-GB" w:eastAsia="en-GB"/>
        </w:rPr>
      </w:pPr>
      <w:r w:rsidRPr="00121DB7">
        <w:rPr>
          <w:noProof/>
          <w:sz w:val="12"/>
          <w:szCs w:val="12"/>
          <w:lang w:val="en-US"/>
        </w:rPr>
        <w:drawing>
          <wp:inline distT="0" distB="0" distL="0" distR="0" wp14:anchorId="5BA5DC5C" wp14:editId="4E7DF237">
            <wp:extent cx="2924810" cy="2106181"/>
            <wp:effectExtent l="0" t="0" r="0" b="8890"/>
            <wp:docPr id="5" name="Picture 5" descr="M:\4_Marketing_Presentations (inkl EventMgt)\1_AC\Presentations\3_AC_PflioMgt\Charts for Presentation\eurusd apr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4_Marketing_Presentations (inkl EventMgt)\1_AC\Presentations\3_AC_PflioMgt\Charts for Presentation\eurusd april.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4810" cy="2106181"/>
                    </a:xfrm>
                    <a:prstGeom prst="rect">
                      <a:avLst/>
                    </a:prstGeom>
                    <a:noFill/>
                    <a:ln>
                      <a:noFill/>
                    </a:ln>
                  </pic:spPr>
                </pic:pic>
              </a:graphicData>
            </a:graphic>
          </wp:inline>
        </w:drawing>
      </w:r>
    </w:p>
    <w:p w14:paraId="2C241A10" w14:textId="0BC8ADB4" w:rsidR="00A179E7" w:rsidRDefault="005939B9" w:rsidP="00A179E7">
      <w:pPr>
        <w:spacing w:after="0" w:line="240" w:lineRule="auto"/>
        <w:ind w:right="113"/>
        <w:jc w:val="both"/>
        <w:rPr>
          <w:noProof/>
          <w:sz w:val="12"/>
          <w:szCs w:val="12"/>
          <w:lang w:val="en-GB" w:eastAsia="en-GB"/>
        </w:rPr>
      </w:pPr>
      <w:r>
        <w:rPr>
          <w:noProof/>
          <w:sz w:val="12"/>
          <w:szCs w:val="12"/>
          <w:lang w:val="en-GB" w:eastAsia="en-GB"/>
        </w:rPr>
        <w:t xml:space="preserve">EURUSD Technical </w:t>
      </w:r>
      <w:r w:rsidR="00A179E7">
        <w:rPr>
          <w:noProof/>
          <w:sz w:val="12"/>
          <w:szCs w:val="12"/>
          <w:lang w:val="en-GB" w:eastAsia="en-GB"/>
        </w:rPr>
        <w:t>Chart</w:t>
      </w:r>
      <w:r w:rsidR="004413A8">
        <w:rPr>
          <w:noProof/>
          <w:sz w:val="12"/>
          <w:szCs w:val="12"/>
          <w:lang w:val="en-GB" w:eastAsia="en-GB"/>
        </w:rPr>
        <w:t xml:space="preserve"> 5y</w:t>
      </w:r>
      <w:r w:rsidR="00A179E7">
        <w:rPr>
          <w:noProof/>
          <w:sz w:val="12"/>
          <w:szCs w:val="12"/>
          <w:lang w:val="en-GB" w:eastAsia="en-GB"/>
        </w:rPr>
        <w:t>, Bloomberg</w:t>
      </w:r>
    </w:p>
    <w:sectPr w:rsidR="00A179E7" w:rsidSect="00410B50">
      <w:headerReference w:type="default" r:id="rId10"/>
      <w:footerReference w:type="default" r:id="rId11"/>
      <w:type w:val="continuous"/>
      <w:pgSz w:w="11906" w:h="16838" w:code="9"/>
      <w:pgMar w:top="1559" w:right="1276" w:bottom="567" w:left="709" w:header="709" w:footer="425"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48BAE" w14:textId="77777777" w:rsidR="00236A23" w:rsidRPr="00800BF8" w:rsidRDefault="00236A23" w:rsidP="00800BF8">
      <w:pPr>
        <w:pStyle w:val="Footer"/>
      </w:pPr>
      <w:r>
        <w:separator/>
      </w:r>
    </w:p>
  </w:endnote>
  <w:endnote w:type="continuationSeparator" w:id="0">
    <w:p w14:paraId="033ECE91" w14:textId="77777777" w:rsidR="00236A23" w:rsidRPr="00800BF8" w:rsidRDefault="00236A23" w:rsidP="00800BF8">
      <w:pPr>
        <w:pStyle w:val="Footer"/>
      </w:pPr>
    </w:p>
  </w:endnote>
  <w:endnote w:id="1">
    <w:p w14:paraId="2753AC92" w14:textId="77777777" w:rsidR="00236A23" w:rsidRPr="00F42A12" w:rsidRDefault="00236A23" w:rsidP="00593AEC">
      <w:pPr>
        <w:pStyle w:val="EndnoteText"/>
        <w:spacing w:after="0" w:line="240" w:lineRule="auto"/>
        <w:rPr>
          <w:rFonts w:ascii="Palatino" w:hAnsi="Palatino"/>
          <w:sz w:val="10"/>
          <w:szCs w:val="12"/>
          <w:lang w:val="en-US"/>
        </w:rPr>
      </w:pPr>
      <w:r w:rsidRPr="00F42A12">
        <w:rPr>
          <w:rStyle w:val="EndnoteReference"/>
          <w:sz w:val="10"/>
          <w:szCs w:val="12"/>
        </w:rPr>
        <w:endnoteRef/>
      </w:r>
      <w:r w:rsidRPr="00F42A12">
        <w:rPr>
          <w:rFonts w:ascii="Palatino" w:hAnsi="Palatino"/>
          <w:sz w:val="10"/>
          <w:szCs w:val="12"/>
          <w:lang w:val="en-US"/>
        </w:rPr>
        <w:t xml:space="preserve"> How to read: (U) underweight; (N) neutral; (O) overweight</w:t>
      </w:r>
    </w:p>
  </w:endnote>
  <w:endnote w:id="2">
    <w:p w14:paraId="501011B7" w14:textId="77777777" w:rsidR="00236A23" w:rsidRPr="00F42A12" w:rsidRDefault="00236A23" w:rsidP="00807EB9">
      <w:pPr>
        <w:pStyle w:val="EndnoteText"/>
        <w:spacing w:after="0" w:line="240" w:lineRule="auto"/>
        <w:rPr>
          <w:rStyle w:val="EndnoteReference"/>
          <w:sz w:val="10"/>
          <w:szCs w:val="12"/>
          <w:lang w:val="en-GB"/>
        </w:rPr>
      </w:pPr>
      <w:r w:rsidRPr="00F42A12">
        <w:rPr>
          <w:rStyle w:val="EndnoteReference"/>
          <w:sz w:val="10"/>
          <w:szCs w:val="12"/>
        </w:rPr>
        <w:endnoteRef/>
      </w:r>
      <w:r w:rsidRPr="00F42A12">
        <w:rPr>
          <w:rStyle w:val="EndnoteReference"/>
          <w:sz w:val="10"/>
          <w:szCs w:val="12"/>
          <w:lang w:val="en-GB"/>
        </w:rPr>
        <w:t xml:space="preserve"> </w:t>
      </w:r>
      <w:r w:rsidRPr="00F42A12">
        <w:rPr>
          <w:rFonts w:ascii="Palatino" w:hAnsi="Palatino"/>
          <w:sz w:val="10"/>
          <w:szCs w:val="12"/>
          <w:lang w:val="en-US"/>
        </w:rPr>
        <w:t xml:space="preserve">See rationales on our web page </w:t>
      </w:r>
      <w:hyperlink r:id="rId1" w:history="1">
        <w:r w:rsidRPr="00F42A12">
          <w:rPr>
            <w:rFonts w:ascii="Palatino" w:hAnsi="Palatino"/>
            <w:sz w:val="10"/>
            <w:szCs w:val="12"/>
            <w:lang w:val="en-US"/>
          </w:rPr>
          <w:t>www.aspermontcapital.ch</w:t>
        </w:r>
      </w:hyperlink>
    </w:p>
  </w:endnote>
  <w:endnote w:id="3">
    <w:p w14:paraId="1384678F" w14:textId="75E80111" w:rsidR="00236A23" w:rsidRPr="00800BF8" w:rsidRDefault="00236A23" w:rsidP="00807EB9">
      <w:pPr>
        <w:pStyle w:val="EndnoteText"/>
        <w:spacing w:after="0" w:line="240" w:lineRule="auto"/>
        <w:rPr>
          <w:lang w:val="en-GB"/>
        </w:rPr>
      </w:pPr>
      <w:r w:rsidRPr="00F42A12">
        <w:rPr>
          <w:rStyle w:val="EndnoteReference"/>
          <w:sz w:val="10"/>
          <w:szCs w:val="12"/>
        </w:rPr>
        <w:endnoteRef/>
      </w:r>
      <w:r w:rsidRPr="00F42A12">
        <w:rPr>
          <w:rStyle w:val="EndnoteReference"/>
          <w:sz w:val="10"/>
          <w:szCs w:val="12"/>
          <w:lang w:val="en-GB"/>
        </w:rPr>
        <w:t xml:space="preserve"> </w:t>
      </w:r>
      <w:r w:rsidRPr="00F42A12">
        <w:rPr>
          <w:rFonts w:ascii="Palatino" w:hAnsi="Palatino"/>
          <w:sz w:val="10"/>
          <w:szCs w:val="12"/>
          <w:lang w:val="en-US"/>
        </w:rPr>
        <w:t>Return f</w:t>
      </w:r>
      <w:r w:rsidR="004413A8">
        <w:rPr>
          <w:rFonts w:ascii="Palatino" w:hAnsi="Palatino"/>
          <w:sz w:val="10"/>
          <w:szCs w:val="12"/>
          <w:lang w:val="en-US"/>
        </w:rPr>
        <w:t>or the last rolling 12m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reditSuisseTyp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9B3BD" w14:textId="77777777" w:rsidR="00236A23" w:rsidRPr="00FF42A2" w:rsidRDefault="00236A23" w:rsidP="00FF42A2">
    <w:pPr>
      <w:spacing w:before="100" w:beforeAutospacing="1" w:after="0" w:line="240" w:lineRule="auto"/>
      <w:jc w:val="both"/>
      <w:outlineLvl w:val="0"/>
      <w:rPr>
        <w:rFonts w:ascii="Times New Roman" w:eastAsia="Times New Roman" w:hAnsi="Times New Roman"/>
        <w:sz w:val="14"/>
        <w:szCs w:val="24"/>
        <w:lang w:val="en-US" w:eastAsia="de-CH"/>
      </w:rPr>
    </w:pPr>
    <w:r w:rsidRPr="00FF42A2">
      <w:rPr>
        <w:rFonts w:ascii="Times New Roman" w:eastAsia="Times New Roman" w:hAnsi="Times New Roman"/>
        <w:sz w:val="14"/>
        <w:szCs w:val="24"/>
        <w:lang w:val="en-US" w:eastAsia="de-CH"/>
      </w:rPr>
      <w:t>Disclaimer</w:t>
    </w:r>
  </w:p>
  <w:p w14:paraId="7FB12ACE" w14:textId="77777777" w:rsidR="00236A23" w:rsidRPr="00FF42A2" w:rsidRDefault="00236A23" w:rsidP="00FF42A2">
    <w:pPr>
      <w:spacing w:after="0" w:line="240" w:lineRule="auto"/>
      <w:jc w:val="both"/>
      <w:outlineLvl w:val="0"/>
      <w:rPr>
        <w:rFonts w:ascii="Times New Roman" w:eastAsia="Times New Roman" w:hAnsi="Times New Roman"/>
        <w:b/>
        <w:bCs/>
        <w:kern w:val="36"/>
        <w:sz w:val="10"/>
        <w:szCs w:val="12"/>
        <w:lang w:val="en-US" w:eastAsia="de-CH"/>
      </w:rPr>
    </w:pPr>
    <w:r w:rsidRPr="00FF42A2">
      <w:rPr>
        <w:rFonts w:ascii="Times New Roman" w:eastAsia="Times New Roman" w:hAnsi="Times New Roman"/>
        <w:sz w:val="10"/>
        <w:szCs w:val="12"/>
        <w:lang w:val="en-US" w:eastAsia="de-CH"/>
      </w:rPr>
      <w:t>The information provided is exclusively for informational purposes only. All of the information contained has been carefully selected and obtained from sources that Aspermont Capital AG fundamentally believes to be reliable. No guarantee is assumed as to the accuracy or completeness of the information. Opinions constitute our judgment as at the time of publication and are subject to change. The information contained herein is not intended as an offer or a solicitation to buy or sell securities or any other investment or banking product, nor does it constitute a personal recommendation. The value of investments, and the income from them, can go down as well as up. Past performances should not be taken as a guide to future performances.</w:t>
    </w:r>
  </w:p>
  <w:p w14:paraId="4AC4162C" w14:textId="77777777" w:rsidR="00236A23" w:rsidRPr="00682858" w:rsidRDefault="00236A23" w:rsidP="002A03B6">
    <w:pPr>
      <w:pStyle w:val="Footer"/>
      <w:jc w:val="right"/>
      <w:rPr>
        <w:rFonts w:ascii="Palatino" w:hAnsi="Palatino"/>
        <w:sz w:val="16"/>
        <w:szCs w:val="16"/>
        <w:lang w:val="en-US"/>
      </w:rPr>
    </w:pPr>
    <w:r w:rsidRPr="00682858">
      <w:rPr>
        <w:rFonts w:ascii="Palatino" w:hAnsi="Palatino"/>
        <w:sz w:val="16"/>
        <w:szCs w:val="16"/>
        <w:lang w:val="en-US"/>
      </w:rPr>
      <w:t xml:space="preserve">Copyright </w:t>
    </w:r>
    <w:r w:rsidRPr="00682858">
      <w:rPr>
        <w:rFonts w:ascii="Palatino" w:hAnsi="Palatino"/>
        <w:color w:val="B11639"/>
        <w:sz w:val="16"/>
        <w:szCs w:val="16"/>
        <w:lang w:val="en-US"/>
      </w:rPr>
      <w:t>©</w:t>
    </w:r>
    <w:r w:rsidRPr="00682858">
      <w:rPr>
        <w:rFonts w:ascii="Palatino" w:hAnsi="Palatino"/>
        <w:color w:val="C0504D"/>
        <w:sz w:val="16"/>
        <w:szCs w:val="16"/>
        <w:lang w:val="en-US"/>
      </w:rPr>
      <w:t xml:space="preserve"> </w:t>
    </w:r>
    <w:r w:rsidRPr="00682858">
      <w:rPr>
        <w:rFonts w:ascii="Palatino" w:hAnsi="Palatino"/>
        <w:sz w:val="16"/>
        <w:szCs w:val="16"/>
        <w:lang w:val="en-US"/>
      </w:rPr>
      <w:t>20</w:t>
    </w:r>
    <w:r>
      <w:rPr>
        <w:rFonts w:ascii="Palatino" w:hAnsi="Palatino"/>
        <w:sz w:val="16"/>
        <w:szCs w:val="16"/>
        <w:lang w:val="en-US"/>
      </w:rPr>
      <w:t>1</w:t>
    </w:r>
    <w:r w:rsidR="00962063">
      <w:rPr>
        <w:rFonts w:asciiTheme="minorHAnsi" w:hAnsiTheme="minorHAnsi"/>
        <w:sz w:val="16"/>
        <w:szCs w:val="16"/>
        <w:lang w:val="en-US"/>
      </w:rPr>
      <w:t>8</w:t>
    </w:r>
    <w:r w:rsidRPr="00682858">
      <w:rPr>
        <w:rFonts w:ascii="Palatino" w:hAnsi="Palatino"/>
        <w:sz w:val="16"/>
        <w:szCs w:val="16"/>
        <w:lang w:val="en-US"/>
      </w:rPr>
      <w:t xml:space="preserve"> Aspermont Capital AG.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4B800" w14:textId="77777777" w:rsidR="00236A23" w:rsidRDefault="00236A23" w:rsidP="00920E3A">
      <w:pPr>
        <w:spacing w:after="0" w:line="240" w:lineRule="auto"/>
      </w:pPr>
      <w:r>
        <w:separator/>
      </w:r>
    </w:p>
  </w:footnote>
  <w:footnote w:type="continuationSeparator" w:id="0">
    <w:p w14:paraId="734FD633" w14:textId="77777777" w:rsidR="00236A23" w:rsidRDefault="00236A23" w:rsidP="00920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FA778" w14:textId="77777777" w:rsidR="00236A23" w:rsidRDefault="00236A23" w:rsidP="002A03B6">
    <w:pPr>
      <w:pStyle w:val="Header"/>
      <w:tabs>
        <w:tab w:val="clear" w:pos="9072"/>
        <w:tab w:val="right" w:pos="8820"/>
      </w:tabs>
      <w:ind w:right="49"/>
      <w:jc w:val="right"/>
    </w:pPr>
    <w:r>
      <w:rPr>
        <w:noProof/>
        <w:lang w:val="en-US"/>
      </w:rPr>
      <w:drawing>
        <wp:inline distT="0" distB="0" distL="0" distR="0" wp14:anchorId="3763172D" wp14:editId="6F7CF1C3">
          <wp:extent cx="1304925" cy="209550"/>
          <wp:effectExtent l="0" t="0" r="9525" b="0"/>
          <wp:docPr id="3" name="Picture 1" descr="Aspermont-FinServ_RGB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ermont-FinServ_RGB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209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56ADB"/>
    <w:multiLevelType w:val="hybridMultilevel"/>
    <w:tmpl w:val="5200399A"/>
    <w:lvl w:ilvl="0" w:tplc="4D6C9836">
      <w:start w:val="1"/>
      <w:numFmt w:val="bullet"/>
      <w:lvlText w:val=""/>
      <w:lvlJc w:val="left"/>
      <w:pPr>
        <w:ind w:left="360" w:hanging="360"/>
      </w:pPr>
      <w:rPr>
        <w:rFonts w:ascii="Wingdings" w:hAnsi="Wingdings" w:hint="default"/>
        <w:color w:val="AA1639"/>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8D01E52"/>
    <w:multiLevelType w:val="hybridMultilevel"/>
    <w:tmpl w:val="C91021A2"/>
    <w:lvl w:ilvl="0" w:tplc="4D6C9836">
      <w:start w:val="1"/>
      <w:numFmt w:val="bullet"/>
      <w:lvlText w:val=""/>
      <w:lvlJc w:val="left"/>
      <w:pPr>
        <w:ind w:left="360" w:hanging="360"/>
      </w:pPr>
      <w:rPr>
        <w:rFonts w:ascii="Wingdings" w:hAnsi="Wingdings" w:hint="default"/>
        <w:color w:val="AA1639"/>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6B93519"/>
    <w:multiLevelType w:val="hybridMultilevel"/>
    <w:tmpl w:val="D938FA50"/>
    <w:lvl w:ilvl="0" w:tplc="4BF089AE">
      <w:numFmt w:val="bullet"/>
      <w:lvlText w:val="-"/>
      <w:lvlJc w:val="left"/>
      <w:pPr>
        <w:ind w:left="720" w:hanging="360"/>
      </w:pPr>
      <w:rPr>
        <w:rFonts w:ascii="Palatino" w:eastAsia="Calibri" w:hAnsi="Palatin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744B6"/>
    <w:multiLevelType w:val="hybridMultilevel"/>
    <w:tmpl w:val="561AA6D2"/>
    <w:lvl w:ilvl="0" w:tplc="4D6C9836">
      <w:start w:val="1"/>
      <w:numFmt w:val="bullet"/>
      <w:lvlText w:val=""/>
      <w:lvlJc w:val="left"/>
      <w:pPr>
        <w:ind w:left="360" w:hanging="360"/>
      </w:pPr>
      <w:rPr>
        <w:rFonts w:ascii="Wingdings" w:hAnsi="Wingdings" w:hint="default"/>
        <w:color w:val="AA16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9615B9"/>
    <w:multiLevelType w:val="hybridMultilevel"/>
    <w:tmpl w:val="FED6194C"/>
    <w:lvl w:ilvl="0" w:tplc="4D6C9836">
      <w:start w:val="1"/>
      <w:numFmt w:val="bullet"/>
      <w:lvlText w:val=""/>
      <w:lvlJc w:val="left"/>
      <w:pPr>
        <w:ind w:left="360" w:hanging="360"/>
      </w:pPr>
      <w:rPr>
        <w:rFonts w:ascii="Wingdings" w:hAnsi="Wingdings" w:hint="default"/>
        <w:color w:val="AA16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2C7CEB"/>
    <w:multiLevelType w:val="hybridMultilevel"/>
    <w:tmpl w:val="4DD2D16C"/>
    <w:lvl w:ilvl="0" w:tplc="4BF089AE">
      <w:numFmt w:val="bullet"/>
      <w:lvlText w:val="-"/>
      <w:lvlJc w:val="left"/>
      <w:pPr>
        <w:ind w:left="360" w:hanging="360"/>
      </w:pPr>
      <w:rPr>
        <w:rFonts w:ascii="Palatino" w:eastAsia="Calibri" w:hAnsi="Palatino"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823FC7"/>
    <w:multiLevelType w:val="hybridMultilevel"/>
    <w:tmpl w:val="5F360B18"/>
    <w:lvl w:ilvl="0" w:tplc="1990129C">
      <w:numFmt w:val="bullet"/>
      <w:lvlText w:val="-"/>
      <w:lvlJc w:val="left"/>
      <w:pPr>
        <w:ind w:left="720" w:hanging="360"/>
      </w:pPr>
      <w:rPr>
        <w:rFonts w:ascii="Palatino" w:eastAsiaTheme="minorEastAsia" w:hAnsi="Palatino"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B737F"/>
    <w:multiLevelType w:val="hybridMultilevel"/>
    <w:tmpl w:val="B5144A48"/>
    <w:lvl w:ilvl="0" w:tplc="4100FB2E">
      <w:numFmt w:val="bullet"/>
      <w:lvlText w:val="-"/>
      <w:lvlJc w:val="left"/>
      <w:pPr>
        <w:ind w:left="1065" w:hanging="360"/>
      </w:pPr>
      <w:rPr>
        <w:rFonts w:ascii="CreditSuisseType-Bold" w:eastAsiaTheme="minorEastAsia" w:hAnsi="CreditSuisseType-Bold" w:cs="CreditSuisseType-Bold" w:hint="default"/>
        <w:b/>
        <w:sz w:val="19"/>
      </w:rPr>
    </w:lvl>
    <w:lvl w:ilvl="1" w:tplc="08070003">
      <w:start w:val="1"/>
      <w:numFmt w:val="bullet"/>
      <w:lvlText w:val="o"/>
      <w:lvlJc w:val="left"/>
      <w:pPr>
        <w:ind w:left="1785" w:hanging="360"/>
      </w:pPr>
      <w:rPr>
        <w:rFonts w:ascii="Courier New" w:hAnsi="Courier New" w:cs="Courier New" w:hint="default"/>
      </w:rPr>
    </w:lvl>
    <w:lvl w:ilvl="2" w:tplc="08070005">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8" w15:restartNumberingAfterBreak="0">
    <w:nsid w:val="43334F81"/>
    <w:multiLevelType w:val="hybridMultilevel"/>
    <w:tmpl w:val="F8E402EA"/>
    <w:lvl w:ilvl="0" w:tplc="4D6C9836">
      <w:start w:val="1"/>
      <w:numFmt w:val="bullet"/>
      <w:lvlText w:val=""/>
      <w:lvlJc w:val="left"/>
      <w:pPr>
        <w:ind w:left="360" w:hanging="360"/>
      </w:pPr>
      <w:rPr>
        <w:rFonts w:ascii="Wingdings" w:hAnsi="Wingdings" w:hint="default"/>
        <w:color w:val="AA1639"/>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78D316E"/>
    <w:multiLevelType w:val="hybridMultilevel"/>
    <w:tmpl w:val="1F541F88"/>
    <w:lvl w:ilvl="0" w:tplc="4BF089AE">
      <w:numFmt w:val="bullet"/>
      <w:lvlText w:val="-"/>
      <w:lvlJc w:val="left"/>
      <w:pPr>
        <w:ind w:left="360" w:hanging="360"/>
      </w:pPr>
      <w:rPr>
        <w:rFonts w:ascii="Palatino" w:eastAsia="Calibri" w:hAnsi="Palatino"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B32D1E"/>
    <w:multiLevelType w:val="hybridMultilevel"/>
    <w:tmpl w:val="18D85C54"/>
    <w:lvl w:ilvl="0" w:tplc="4BF089AE">
      <w:numFmt w:val="bullet"/>
      <w:lvlText w:val="-"/>
      <w:lvlJc w:val="left"/>
      <w:pPr>
        <w:ind w:left="360" w:hanging="360"/>
      </w:pPr>
      <w:rPr>
        <w:rFonts w:ascii="Palatino" w:eastAsia="Calibri" w:hAnsi="Palatino"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55654E"/>
    <w:multiLevelType w:val="hybridMultilevel"/>
    <w:tmpl w:val="20165146"/>
    <w:lvl w:ilvl="0" w:tplc="4D6C9836">
      <w:start w:val="1"/>
      <w:numFmt w:val="bullet"/>
      <w:lvlText w:val=""/>
      <w:lvlJc w:val="left"/>
      <w:pPr>
        <w:ind w:left="360" w:hanging="360"/>
      </w:pPr>
      <w:rPr>
        <w:rFonts w:ascii="Wingdings" w:hAnsi="Wingdings" w:hint="default"/>
        <w:color w:val="AA1639"/>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567761D7"/>
    <w:multiLevelType w:val="hybridMultilevel"/>
    <w:tmpl w:val="6E7CEC02"/>
    <w:lvl w:ilvl="0" w:tplc="4D6C9836">
      <w:start w:val="1"/>
      <w:numFmt w:val="bullet"/>
      <w:lvlText w:val=""/>
      <w:lvlJc w:val="left"/>
      <w:pPr>
        <w:ind w:left="363" w:hanging="360"/>
      </w:pPr>
      <w:rPr>
        <w:rFonts w:ascii="Wingdings" w:hAnsi="Wingdings" w:hint="default"/>
        <w:color w:val="AA1639"/>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6DBA5922"/>
    <w:multiLevelType w:val="hybridMultilevel"/>
    <w:tmpl w:val="64AA3E92"/>
    <w:lvl w:ilvl="0" w:tplc="4D6C9836">
      <w:start w:val="1"/>
      <w:numFmt w:val="bullet"/>
      <w:lvlText w:val=""/>
      <w:lvlJc w:val="left"/>
      <w:pPr>
        <w:ind w:left="360" w:hanging="360"/>
      </w:pPr>
      <w:rPr>
        <w:rFonts w:ascii="Wingdings" w:hAnsi="Wingdings" w:hint="default"/>
        <w:color w:val="AA163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73C0213"/>
    <w:multiLevelType w:val="hybridMultilevel"/>
    <w:tmpl w:val="A7C264FA"/>
    <w:lvl w:ilvl="0" w:tplc="4BF089AE">
      <w:numFmt w:val="bullet"/>
      <w:lvlText w:val="-"/>
      <w:lvlJc w:val="left"/>
      <w:pPr>
        <w:ind w:left="360" w:hanging="360"/>
      </w:pPr>
      <w:rPr>
        <w:rFonts w:ascii="Palatino" w:eastAsia="Calibri" w:hAnsi="Palatino"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2"/>
  </w:num>
  <w:num w:numId="6">
    <w:abstractNumId w:val="10"/>
  </w:num>
  <w:num w:numId="7">
    <w:abstractNumId w:val="5"/>
  </w:num>
  <w:num w:numId="8">
    <w:abstractNumId w:val="14"/>
  </w:num>
  <w:num w:numId="9">
    <w:abstractNumId w:val="9"/>
  </w:num>
  <w:num w:numId="10">
    <w:abstractNumId w:val="3"/>
  </w:num>
  <w:num w:numId="11">
    <w:abstractNumId w:val="4"/>
  </w:num>
  <w:num w:numId="12">
    <w:abstractNumId w:val="13"/>
  </w:num>
  <w:num w:numId="13">
    <w:abstractNumId w:val="6"/>
  </w:num>
  <w:num w:numId="14">
    <w:abstractNumId w:val="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305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E3A"/>
    <w:rsid w:val="00000BBB"/>
    <w:rsid w:val="00000BBF"/>
    <w:rsid w:val="00002161"/>
    <w:rsid w:val="000050C1"/>
    <w:rsid w:val="00005D61"/>
    <w:rsid w:val="00006C0D"/>
    <w:rsid w:val="0001083A"/>
    <w:rsid w:val="0001101E"/>
    <w:rsid w:val="00011FB1"/>
    <w:rsid w:val="00012A0D"/>
    <w:rsid w:val="00012E23"/>
    <w:rsid w:val="00016992"/>
    <w:rsid w:val="00017445"/>
    <w:rsid w:val="00020263"/>
    <w:rsid w:val="00022AA5"/>
    <w:rsid w:val="0002393D"/>
    <w:rsid w:val="00023BDD"/>
    <w:rsid w:val="00024311"/>
    <w:rsid w:val="00024E9A"/>
    <w:rsid w:val="000262C4"/>
    <w:rsid w:val="00031CAE"/>
    <w:rsid w:val="000336C8"/>
    <w:rsid w:val="000339CA"/>
    <w:rsid w:val="00034E12"/>
    <w:rsid w:val="00034F48"/>
    <w:rsid w:val="000365FB"/>
    <w:rsid w:val="000379FA"/>
    <w:rsid w:val="0004112D"/>
    <w:rsid w:val="00041C1F"/>
    <w:rsid w:val="00041EEB"/>
    <w:rsid w:val="00042343"/>
    <w:rsid w:val="00042DF6"/>
    <w:rsid w:val="00044F68"/>
    <w:rsid w:val="000513C4"/>
    <w:rsid w:val="000514A6"/>
    <w:rsid w:val="00054DDA"/>
    <w:rsid w:val="00054EA4"/>
    <w:rsid w:val="00055363"/>
    <w:rsid w:val="00055C57"/>
    <w:rsid w:val="00057885"/>
    <w:rsid w:val="00057CBB"/>
    <w:rsid w:val="000609DF"/>
    <w:rsid w:val="00060A61"/>
    <w:rsid w:val="00062DE1"/>
    <w:rsid w:val="000648D7"/>
    <w:rsid w:val="0006659D"/>
    <w:rsid w:val="00066B6D"/>
    <w:rsid w:val="000706F4"/>
    <w:rsid w:val="00072FCA"/>
    <w:rsid w:val="00073FDE"/>
    <w:rsid w:val="0007603B"/>
    <w:rsid w:val="00077495"/>
    <w:rsid w:val="000816BD"/>
    <w:rsid w:val="00081F9D"/>
    <w:rsid w:val="00082BFB"/>
    <w:rsid w:val="000830A6"/>
    <w:rsid w:val="00083690"/>
    <w:rsid w:val="000844CB"/>
    <w:rsid w:val="00084A51"/>
    <w:rsid w:val="00090B72"/>
    <w:rsid w:val="0009296A"/>
    <w:rsid w:val="00093B5A"/>
    <w:rsid w:val="00094154"/>
    <w:rsid w:val="000948DB"/>
    <w:rsid w:val="00095B97"/>
    <w:rsid w:val="00095C3E"/>
    <w:rsid w:val="0009620F"/>
    <w:rsid w:val="00097377"/>
    <w:rsid w:val="000A0342"/>
    <w:rsid w:val="000A08DD"/>
    <w:rsid w:val="000A2E66"/>
    <w:rsid w:val="000A3EF5"/>
    <w:rsid w:val="000A5E00"/>
    <w:rsid w:val="000A6277"/>
    <w:rsid w:val="000A6770"/>
    <w:rsid w:val="000A6B7B"/>
    <w:rsid w:val="000A78F5"/>
    <w:rsid w:val="000B13E2"/>
    <w:rsid w:val="000B29CA"/>
    <w:rsid w:val="000B3883"/>
    <w:rsid w:val="000B54A0"/>
    <w:rsid w:val="000B5578"/>
    <w:rsid w:val="000B5A89"/>
    <w:rsid w:val="000B693A"/>
    <w:rsid w:val="000B797A"/>
    <w:rsid w:val="000B7BB0"/>
    <w:rsid w:val="000C08C3"/>
    <w:rsid w:val="000C1BE8"/>
    <w:rsid w:val="000C3FA5"/>
    <w:rsid w:val="000C40FE"/>
    <w:rsid w:val="000C513F"/>
    <w:rsid w:val="000C6522"/>
    <w:rsid w:val="000C7021"/>
    <w:rsid w:val="000D1A76"/>
    <w:rsid w:val="000D239E"/>
    <w:rsid w:val="000D5E07"/>
    <w:rsid w:val="000E0E1E"/>
    <w:rsid w:val="000E2490"/>
    <w:rsid w:val="000E3C49"/>
    <w:rsid w:val="000E6642"/>
    <w:rsid w:val="000E69B3"/>
    <w:rsid w:val="000E6FBC"/>
    <w:rsid w:val="000E709C"/>
    <w:rsid w:val="000E7561"/>
    <w:rsid w:val="000F7566"/>
    <w:rsid w:val="000F76C1"/>
    <w:rsid w:val="001029C0"/>
    <w:rsid w:val="00102F51"/>
    <w:rsid w:val="00106E78"/>
    <w:rsid w:val="00107D33"/>
    <w:rsid w:val="001105CA"/>
    <w:rsid w:val="001111FD"/>
    <w:rsid w:val="00112153"/>
    <w:rsid w:val="00112828"/>
    <w:rsid w:val="001131C9"/>
    <w:rsid w:val="00114F07"/>
    <w:rsid w:val="0011534B"/>
    <w:rsid w:val="001177A3"/>
    <w:rsid w:val="00117883"/>
    <w:rsid w:val="001179C6"/>
    <w:rsid w:val="00121DB7"/>
    <w:rsid w:val="001237A5"/>
    <w:rsid w:val="00123AC7"/>
    <w:rsid w:val="00130A42"/>
    <w:rsid w:val="00132B8B"/>
    <w:rsid w:val="00133897"/>
    <w:rsid w:val="001346A2"/>
    <w:rsid w:val="00140E94"/>
    <w:rsid w:val="00143300"/>
    <w:rsid w:val="00143FFC"/>
    <w:rsid w:val="001443C8"/>
    <w:rsid w:val="0014649E"/>
    <w:rsid w:val="001523E7"/>
    <w:rsid w:val="0015430F"/>
    <w:rsid w:val="00155F0D"/>
    <w:rsid w:val="001568BD"/>
    <w:rsid w:val="00156959"/>
    <w:rsid w:val="00157434"/>
    <w:rsid w:val="00163322"/>
    <w:rsid w:val="00163DCE"/>
    <w:rsid w:val="00164B78"/>
    <w:rsid w:val="00164CAC"/>
    <w:rsid w:val="00164E18"/>
    <w:rsid w:val="0016542F"/>
    <w:rsid w:val="00166A6F"/>
    <w:rsid w:val="00166CA4"/>
    <w:rsid w:val="00167804"/>
    <w:rsid w:val="00167848"/>
    <w:rsid w:val="00170688"/>
    <w:rsid w:val="00171A03"/>
    <w:rsid w:val="001722F7"/>
    <w:rsid w:val="001727BF"/>
    <w:rsid w:val="00172851"/>
    <w:rsid w:val="00172904"/>
    <w:rsid w:val="00173244"/>
    <w:rsid w:val="001775A1"/>
    <w:rsid w:val="001808D7"/>
    <w:rsid w:val="00183650"/>
    <w:rsid w:val="00183A46"/>
    <w:rsid w:val="0018491A"/>
    <w:rsid w:val="001849D3"/>
    <w:rsid w:val="0018723A"/>
    <w:rsid w:val="0018779D"/>
    <w:rsid w:val="00187F68"/>
    <w:rsid w:val="001907B7"/>
    <w:rsid w:val="0019295D"/>
    <w:rsid w:val="00193DB6"/>
    <w:rsid w:val="001A0FC3"/>
    <w:rsid w:val="001A0FE3"/>
    <w:rsid w:val="001A18E4"/>
    <w:rsid w:val="001A2A66"/>
    <w:rsid w:val="001A2C66"/>
    <w:rsid w:val="001A5449"/>
    <w:rsid w:val="001B0767"/>
    <w:rsid w:val="001B24E9"/>
    <w:rsid w:val="001B6ED5"/>
    <w:rsid w:val="001C1004"/>
    <w:rsid w:val="001C1434"/>
    <w:rsid w:val="001C1AC8"/>
    <w:rsid w:val="001C2EC2"/>
    <w:rsid w:val="001C4B89"/>
    <w:rsid w:val="001C4F3A"/>
    <w:rsid w:val="001C7668"/>
    <w:rsid w:val="001D0697"/>
    <w:rsid w:val="001D1BCF"/>
    <w:rsid w:val="001D3424"/>
    <w:rsid w:val="001D56DD"/>
    <w:rsid w:val="001D5DFC"/>
    <w:rsid w:val="001D6424"/>
    <w:rsid w:val="001D6ECD"/>
    <w:rsid w:val="001E1493"/>
    <w:rsid w:val="001E2CAA"/>
    <w:rsid w:val="001E3758"/>
    <w:rsid w:val="001E6F82"/>
    <w:rsid w:val="001E76AF"/>
    <w:rsid w:val="001E7CB5"/>
    <w:rsid w:val="001F029F"/>
    <w:rsid w:val="001F1E34"/>
    <w:rsid w:val="001F31EE"/>
    <w:rsid w:val="001F35B4"/>
    <w:rsid w:val="001F499E"/>
    <w:rsid w:val="001F5FD8"/>
    <w:rsid w:val="001F622D"/>
    <w:rsid w:val="001F6778"/>
    <w:rsid w:val="00201ED0"/>
    <w:rsid w:val="00203080"/>
    <w:rsid w:val="0020449D"/>
    <w:rsid w:val="00205E03"/>
    <w:rsid w:val="00206492"/>
    <w:rsid w:val="00207225"/>
    <w:rsid w:val="0020731E"/>
    <w:rsid w:val="002101C9"/>
    <w:rsid w:val="002101D0"/>
    <w:rsid w:val="00210ED0"/>
    <w:rsid w:val="00211011"/>
    <w:rsid w:val="002146DC"/>
    <w:rsid w:val="002169E2"/>
    <w:rsid w:val="00216A0E"/>
    <w:rsid w:val="00217BEC"/>
    <w:rsid w:val="002202D2"/>
    <w:rsid w:val="00221903"/>
    <w:rsid w:val="00222876"/>
    <w:rsid w:val="00227AA7"/>
    <w:rsid w:val="00231C81"/>
    <w:rsid w:val="00232B4D"/>
    <w:rsid w:val="002331E3"/>
    <w:rsid w:val="00233614"/>
    <w:rsid w:val="00233B87"/>
    <w:rsid w:val="002350F0"/>
    <w:rsid w:val="0023563E"/>
    <w:rsid w:val="00235CF7"/>
    <w:rsid w:val="00236279"/>
    <w:rsid w:val="00236355"/>
    <w:rsid w:val="00236A23"/>
    <w:rsid w:val="00236CB5"/>
    <w:rsid w:val="002371D4"/>
    <w:rsid w:val="00240EF0"/>
    <w:rsid w:val="0024308B"/>
    <w:rsid w:val="002474CC"/>
    <w:rsid w:val="002533AB"/>
    <w:rsid w:val="00260FF9"/>
    <w:rsid w:val="00262B7A"/>
    <w:rsid w:val="0026381A"/>
    <w:rsid w:val="002644D6"/>
    <w:rsid w:val="002646D4"/>
    <w:rsid w:val="00266508"/>
    <w:rsid w:val="0026668A"/>
    <w:rsid w:val="0026738C"/>
    <w:rsid w:val="00267ACC"/>
    <w:rsid w:val="002705DB"/>
    <w:rsid w:val="002706B9"/>
    <w:rsid w:val="002711E2"/>
    <w:rsid w:val="002725A3"/>
    <w:rsid w:val="0027340A"/>
    <w:rsid w:val="00274DD3"/>
    <w:rsid w:val="0027650C"/>
    <w:rsid w:val="00276E80"/>
    <w:rsid w:val="00276F7E"/>
    <w:rsid w:val="002808BE"/>
    <w:rsid w:val="00280C33"/>
    <w:rsid w:val="00280F34"/>
    <w:rsid w:val="00281F25"/>
    <w:rsid w:val="00282F51"/>
    <w:rsid w:val="00284E81"/>
    <w:rsid w:val="002856AC"/>
    <w:rsid w:val="00286030"/>
    <w:rsid w:val="00287BC1"/>
    <w:rsid w:val="002904DD"/>
    <w:rsid w:val="00290729"/>
    <w:rsid w:val="00290E0B"/>
    <w:rsid w:val="002917C6"/>
    <w:rsid w:val="00291A97"/>
    <w:rsid w:val="00291BAB"/>
    <w:rsid w:val="0029221E"/>
    <w:rsid w:val="00292361"/>
    <w:rsid w:val="002937D1"/>
    <w:rsid w:val="00295318"/>
    <w:rsid w:val="00296752"/>
    <w:rsid w:val="002967B2"/>
    <w:rsid w:val="00296E3B"/>
    <w:rsid w:val="002977B8"/>
    <w:rsid w:val="002A03B6"/>
    <w:rsid w:val="002A1349"/>
    <w:rsid w:val="002A2329"/>
    <w:rsid w:val="002A294C"/>
    <w:rsid w:val="002A3B74"/>
    <w:rsid w:val="002A59FE"/>
    <w:rsid w:val="002B0128"/>
    <w:rsid w:val="002B1AA1"/>
    <w:rsid w:val="002B2CD2"/>
    <w:rsid w:val="002B40AC"/>
    <w:rsid w:val="002B5556"/>
    <w:rsid w:val="002B558A"/>
    <w:rsid w:val="002B5F7E"/>
    <w:rsid w:val="002B6633"/>
    <w:rsid w:val="002C0D4B"/>
    <w:rsid w:val="002C1330"/>
    <w:rsid w:val="002C1836"/>
    <w:rsid w:val="002C1E58"/>
    <w:rsid w:val="002C29BB"/>
    <w:rsid w:val="002C362A"/>
    <w:rsid w:val="002C6C27"/>
    <w:rsid w:val="002D1585"/>
    <w:rsid w:val="002D1B3C"/>
    <w:rsid w:val="002D2BCA"/>
    <w:rsid w:val="002D473E"/>
    <w:rsid w:val="002D5361"/>
    <w:rsid w:val="002D62DB"/>
    <w:rsid w:val="002D68EA"/>
    <w:rsid w:val="002D6AC8"/>
    <w:rsid w:val="002D71CA"/>
    <w:rsid w:val="002E0265"/>
    <w:rsid w:val="002E4F1E"/>
    <w:rsid w:val="002F22DB"/>
    <w:rsid w:val="002F64A9"/>
    <w:rsid w:val="002F6750"/>
    <w:rsid w:val="0030192F"/>
    <w:rsid w:val="0030390A"/>
    <w:rsid w:val="003065D7"/>
    <w:rsid w:val="00306916"/>
    <w:rsid w:val="003101E0"/>
    <w:rsid w:val="00311F01"/>
    <w:rsid w:val="00315B59"/>
    <w:rsid w:val="003172DD"/>
    <w:rsid w:val="00321712"/>
    <w:rsid w:val="00322453"/>
    <w:rsid w:val="00322F64"/>
    <w:rsid w:val="003234B2"/>
    <w:rsid w:val="003261F6"/>
    <w:rsid w:val="00331A91"/>
    <w:rsid w:val="00332295"/>
    <w:rsid w:val="00333540"/>
    <w:rsid w:val="0033434F"/>
    <w:rsid w:val="0033631B"/>
    <w:rsid w:val="003404A8"/>
    <w:rsid w:val="0034112C"/>
    <w:rsid w:val="0034124E"/>
    <w:rsid w:val="003416B7"/>
    <w:rsid w:val="0034669E"/>
    <w:rsid w:val="00347392"/>
    <w:rsid w:val="00347C30"/>
    <w:rsid w:val="00353938"/>
    <w:rsid w:val="003617F5"/>
    <w:rsid w:val="00361CC8"/>
    <w:rsid w:val="00362689"/>
    <w:rsid w:val="00364B77"/>
    <w:rsid w:val="0036508C"/>
    <w:rsid w:val="0036552E"/>
    <w:rsid w:val="00365A02"/>
    <w:rsid w:val="00370822"/>
    <w:rsid w:val="00371B81"/>
    <w:rsid w:val="00371DF1"/>
    <w:rsid w:val="00372EB2"/>
    <w:rsid w:val="003830AD"/>
    <w:rsid w:val="00384328"/>
    <w:rsid w:val="00385901"/>
    <w:rsid w:val="00386B78"/>
    <w:rsid w:val="00387C46"/>
    <w:rsid w:val="00390282"/>
    <w:rsid w:val="00390D06"/>
    <w:rsid w:val="00394E85"/>
    <w:rsid w:val="00397E5D"/>
    <w:rsid w:val="003A0174"/>
    <w:rsid w:val="003A0ED3"/>
    <w:rsid w:val="003A14FE"/>
    <w:rsid w:val="003A185B"/>
    <w:rsid w:val="003A2C2A"/>
    <w:rsid w:val="003A2CB5"/>
    <w:rsid w:val="003A357F"/>
    <w:rsid w:val="003A5610"/>
    <w:rsid w:val="003B03FC"/>
    <w:rsid w:val="003B16C9"/>
    <w:rsid w:val="003B3093"/>
    <w:rsid w:val="003B3758"/>
    <w:rsid w:val="003B46ED"/>
    <w:rsid w:val="003B6423"/>
    <w:rsid w:val="003B65B0"/>
    <w:rsid w:val="003B7C1A"/>
    <w:rsid w:val="003B7E0D"/>
    <w:rsid w:val="003C2752"/>
    <w:rsid w:val="003C28B0"/>
    <w:rsid w:val="003C2DCA"/>
    <w:rsid w:val="003C4475"/>
    <w:rsid w:val="003C52D5"/>
    <w:rsid w:val="003C55AA"/>
    <w:rsid w:val="003C5823"/>
    <w:rsid w:val="003D27BC"/>
    <w:rsid w:val="003D2C8E"/>
    <w:rsid w:val="003D35E4"/>
    <w:rsid w:val="003D777F"/>
    <w:rsid w:val="003E0A36"/>
    <w:rsid w:val="003E0B7E"/>
    <w:rsid w:val="003E101A"/>
    <w:rsid w:val="003E3126"/>
    <w:rsid w:val="003E5E95"/>
    <w:rsid w:val="003E6132"/>
    <w:rsid w:val="003E6ECA"/>
    <w:rsid w:val="003F023E"/>
    <w:rsid w:val="003F29A1"/>
    <w:rsid w:val="003F2CE8"/>
    <w:rsid w:val="003F3249"/>
    <w:rsid w:val="003F3805"/>
    <w:rsid w:val="003F57E1"/>
    <w:rsid w:val="003F64F8"/>
    <w:rsid w:val="003F6D09"/>
    <w:rsid w:val="003F6E35"/>
    <w:rsid w:val="003F775D"/>
    <w:rsid w:val="003F7978"/>
    <w:rsid w:val="0040085F"/>
    <w:rsid w:val="0040091B"/>
    <w:rsid w:val="00400CF3"/>
    <w:rsid w:val="00410B50"/>
    <w:rsid w:val="0041202B"/>
    <w:rsid w:val="004121CC"/>
    <w:rsid w:val="004130E6"/>
    <w:rsid w:val="00413B39"/>
    <w:rsid w:val="004147D4"/>
    <w:rsid w:val="00415C71"/>
    <w:rsid w:val="004170D4"/>
    <w:rsid w:val="0042056B"/>
    <w:rsid w:val="004212EE"/>
    <w:rsid w:val="00421309"/>
    <w:rsid w:val="00422402"/>
    <w:rsid w:val="00426CE7"/>
    <w:rsid w:val="00427217"/>
    <w:rsid w:val="0042791F"/>
    <w:rsid w:val="004302E0"/>
    <w:rsid w:val="004307B0"/>
    <w:rsid w:val="0043260C"/>
    <w:rsid w:val="004345AD"/>
    <w:rsid w:val="004368BC"/>
    <w:rsid w:val="0043785F"/>
    <w:rsid w:val="0044029C"/>
    <w:rsid w:val="004403B4"/>
    <w:rsid w:val="004413A8"/>
    <w:rsid w:val="00445879"/>
    <w:rsid w:val="00446BD3"/>
    <w:rsid w:val="0044716C"/>
    <w:rsid w:val="0044765B"/>
    <w:rsid w:val="0045017E"/>
    <w:rsid w:val="00451C60"/>
    <w:rsid w:val="004532F4"/>
    <w:rsid w:val="0045336C"/>
    <w:rsid w:val="00453CB2"/>
    <w:rsid w:val="004553F6"/>
    <w:rsid w:val="00457D49"/>
    <w:rsid w:val="00457DD2"/>
    <w:rsid w:val="00463B9C"/>
    <w:rsid w:val="00464386"/>
    <w:rsid w:val="0046520A"/>
    <w:rsid w:val="004662CC"/>
    <w:rsid w:val="00470DA0"/>
    <w:rsid w:val="00471B5F"/>
    <w:rsid w:val="00474E9B"/>
    <w:rsid w:val="0047630F"/>
    <w:rsid w:val="0047652E"/>
    <w:rsid w:val="00476802"/>
    <w:rsid w:val="0047758F"/>
    <w:rsid w:val="004806BF"/>
    <w:rsid w:val="00481DD8"/>
    <w:rsid w:val="00482401"/>
    <w:rsid w:val="00483535"/>
    <w:rsid w:val="00485340"/>
    <w:rsid w:val="00485BEF"/>
    <w:rsid w:val="00486EB5"/>
    <w:rsid w:val="004914BB"/>
    <w:rsid w:val="00491860"/>
    <w:rsid w:val="00493474"/>
    <w:rsid w:val="004947B7"/>
    <w:rsid w:val="00494D97"/>
    <w:rsid w:val="00495B98"/>
    <w:rsid w:val="004974A1"/>
    <w:rsid w:val="004A1424"/>
    <w:rsid w:val="004A204B"/>
    <w:rsid w:val="004A59D1"/>
    <w:rsid w:val="004A6298"/>
    <w:rsid w:val="004A6541"/>
    <w:rsid w:val="004A7ED7"/>
    <w:rsid w:val="004B0F67"/>
    <w:rsid w:val="004B46B7"/>
    <w:rsid w:val="004B58BD"/>
    <w:rsid w:val="004B6DD5"/>
    <w:rsid w:val="004C0F25"/>
    <w:rsid w:val="004C3B79"/>
    <w:rsid w:val="004C3FFE"/>
    <w:rsid w:val="004C4071"/>
    <w:rsid w:val="004C4EAB"/>
    <w:rsid w:val="004C508F"/>
    <w:rsid w:val="004C5A25"/>
    <w:rsid w:val="004D295A"/>
    <w:rsid w:val="004D357D"/>
    <w:rsid w:val="004D3DBE"/>
    <w:rsid w:val="004D6639"/>
    <w:rsid w:val="004D6CF2"/>
    <w:rsid w:val="004E12E4"/>
    <w:rsid w:val="004E1C10"/>
    <w:rsid w:val="004E5851"/>
    <w:rsid w:val="004E6C59"/>
    <w:rsid w:val="004F0539"/>
    <w:rsid w:val="004F1C08"/>
    <w:rsid w:val="004F2034"/>
    <w:rsid w:val="004F4162"/>
    <w:rsid w:val="004F6998"/>
    <w:rsid w:val="00501DF8"/>
    <w:rsid w:val="00502CAA"/>
    <w:rsid w:val="005060FA"/>
    <w:rsid w:val="00506C6F"/>
    <w:rsid w:val="00513FA8"/>
    <w:rsid w:val="005140AF"/>
    <w:rsid w:val="005145F8"/>
    <w:rsid w:val="00514B83"/>
    <w:rsid w:val="00520025"/>
    <w:rsid w:val="005208C4"/>
    <w:rsid w:val="00520A37"/>
    <w:rsid w:val="00520E3A"/>
    <w:rsid w:val="00520F6A"/>
    <w:rsid w:val="005220EF"/>
    <w:rsid w:val="00523778"/>
    <w:rsid w:val="00524804"/>
    <w:rsid w:val="00525418"/>
    <w:rsid w:val="005258D0"/>
    <w:rsid w:val="00525C05"/>
    <w:rsid w:val="005274BF"/>
    <w:rsid w:val="00527E28"/>
    <w:rsid w:val="00530894"/>
    <w:rsid w:val="00532A70"/>
    <w:rsid w:val="0053333A"/>
    <w:rsid w:val="00533A61"/>
    <w:rsid w:val="00533FC3"/>
    <w:rsid w:val="00534F95"/>
    <w:rsid w:val="00535207"/>
    <w:rsid w:val="00535256"/>
    <w:rsid w:val="00535EEF"/>
    <w:rsid w:val="00536BFC"/>
    <w:rsid w:val="005451CE"/>
    <w:rsid w:val="005460F1"/>
    <w:rsid w:val="00546383"/>
    <w:rsid w:val="0054651F"/>
    <w:rsid w:val="00547A9B"/>
    <w:rsid w:val="00547FAE"/>
    <w:rsid w:val="00550274"/>
    <w:rsid w:val="00551028"/>
    <w:rsid w:val="00551B3D"/>
    <w:rsid w:val="00553546"/>
    <w:rsid w:val="00553A1D"/>
    <w:rsid w:val="005541B8"/>
    <w:rsid w:val="005569EE"/>
    <w:rsid w:val="005572BF"/>
    <w:rsid w:val="00557DB6"/>
    <w:rsid w:val="00557E2E"/>
    <w:rsid w:val="00560B8E"/>
    <w:rsid w:val="005619E1"/>
    <w:rsid w:val="00561FC4"/>
    <w:rsid w:val="00562CCF"/>
    <w:rsid w:val="00566B55"/>
    <w:rsid w:val="0056724F"/>
    <w:rsid w:val="0056764A"/>
    <w:rsid w:val="00567EA2"/>
    <w:rsid w:val="00567F48"/>
    <w:rsid w:val="00575BF4"/>
    <w:rsid w:val="00580CDA"/>
    <w:rsid w:val="00580E03"/>
    <w:rsid w:val="00582274"/>
    <w:rsid w:val="00584139"/>
    <w:rsid w:val="00584B1F"/>
    <w:rsid w:val="00584FD0"/>
    <w:rsid w:val="005908D6"/>
    <w:rsid w:val="00592990"/>
    <w:rsid w:val="005939B9"/>
    <w:rsid w:val="00593A9F"/>
    <w:rsid w:val="00593AEC"/>
    <w:rsid w:val="00595387"/>
    <w:rsid w:val="00596085"/>
    <w:rsid w:val="0059614C"/>
    <w:rsid w:val="00596CB3"/>
    <w:rsid w:val="005A06FF"/>
    <w:rsid w:val="005A0AB0"/>
    <w:rsid w:val="005A1136"/>
    <w:rsid w:val="005A150E"/>
    <w:rsid w:val="005A200C"/>
    <w:rsid w:val="005A2556"/>
    <w:rsid w:val="005A4870"/>
    <w:rsid w:val="005A59BE"/>
    <w:rsid w:val="005B0C4A"/>
    <w:rsid w:val="005B32EA"/>
    <w:rsid w:val="005B3F51"/>
    <w:rsid w:val="005B410E"/>
    <w:rsid w:val="005B4B2F"/>
    <w:rsid w:val="005B4CD6"/>
    <w:rsid w:val="005B6C4C"/>
    <w:rsid w:val="005C1368"/>
    <w:rsid w:val="005C3F17"/>
    <w:rsid w:val="005C47A0"/>
    <w:rsid w:val="005C4AB2"/>
    <w:rsid w:val="005D05AD"/>
    <w:rsid w:val="005D0C41"/>
    <w:rsid w:val="005D18A1"/>
    <w:rsid w:val="005D5716"/>
    <w:rsid w:val="005D5DF9"/>
    <w:rsid w:val="005E3111"/>
    <w:rsid w:val="005E64CA"/>
    <w:rsid w:val="005E6D5D"/>
    <w:rsid w:val="005E75DD"/>
    <w:rsid w:val="005F1FF2"/>
    <w:rsid w:val="005F2F99"/>
    <w:rsid w:val="005F3D98"/>
    <w:rsid w:val="005F4851"/>
    <w:rsid w:val="005F776C"/>
    <w:rsid w:val="00600DF5"/>
    <w:rsid w:val="0060385D"/>
    <w:rsid w:val="00605A8B"/>
    <w:rsid w:val="006111BE"/>
    <w:rsid w:val="00611A8A"/>
    <w:rsid w:val="00612CC0"/>
    <w:rsid w:val="00612FEB"/>
    <w:rsid w:val="00614B21"/>
    <w:rsid w:val="00620046"/>
    <w:rsid w:val="0062562C"/>
    <w:rsid w:val="00627B27"/>
    <w:rsid w:val="00631269"/>
    <w:rsid w:val="00631B75"/>
    <w:rsid w:val="0063331D"/>
    <w:rsid w:val="00636F27"/>
    <w:rsid w:val="0063761D"/>
    <w:rsid w:val="00642606"/>
    <w:rsid w:val="006446E1"/>
    <w:rsid w:val="006446EA"/>
    <w:rsid w:val="00647A22"/>
    <w:rsid w:val="006502BF"/>
    <w:rsid w:val="00652EC9"/>
    <w:rsid w:val="00653F7C"/>
    <w:rsid w:val="00657597"/>
    <w:rsid w:val="00660996"/>
    <w:rsid w:val="00660B4D"/>
    <w:rsid w:val="0066146B"/>
    <w:rsid w:val="00662158"/>
    <w:rsid w:val="00662382"/>
    <w:rsid w:val="00662668"/>
    <w:rsid w:val="00663523"/>
    <w:rsid w:val="00665EBE"/>
    <w:rsid w:val="006707A6"/>
    <w:rsid w:val="006716FC"/>
    <w:rsid w:val="00671BFB"/>
    <w:rsid w:val="00672172"/>
    <w:rsid w:val="0067277B"/>
    <w:rsid w:val="00673163"/>
    <w:rsid w:val="00674D64"/>
    <w:rsid w:val="00680C5F"/>
    <w:rsid w:val="00680F3E"/>
    <w:rsid w:val="006828E6"/>
    <w:rsid w:val="006834D6"/>
    <w:rsid w:val="00683ED4"/>
    <w:rsid w:val="00685414"/>
    <w:rsid w:val="0068577E"/>
    <w:rsid w:val="00685B2F"/>
    <w:rsid w:val="0069178F"/>
    <w:rsid w:val="00693140"/>
    <w:rsid w:val="00693B4C"/>
    <w:rsid w:val="00693BD9"/>
    <w:rsid w:val="006942FD"/>
    <w:rsid w:val="006A063F"/>
    <w:rsid w:val="006A1095"/>
    <w:rsid w:val="006A10D8"/>
    <w:rsid w:val="006A10F0"/>
    <w:rsid w:val="006A5C24"/>
    <w:rsid w:val="006A7999"/>
    <w:rsid w:val="006B0B07"/>
    <w:rsid w:val="006B34B4"/>
    <w:rsid w:val="006B5AED"/>
    <w:rsid w:val="006B7540"/>
    <w:rsid w:val="006B7ACB"/>
    <w:rsid w:val="006B7D8A"/>
    <w:rsid w:val="006C01DE"/>
    <w:rsid w:val="006C10A5"/>
    <w:rsid w:val="006C33BC"/>
    <w:rsid w:val="006C5523"/>
    <w:rsid w:val="006C6447"/>
    <w:rsid w:val="006C651A"/>
    <w:rsid w:val="006C722C"/>
    <w:rsid w:val="006C7D0D"/>
    <w:rsid w:val="006D0899"/>
    <w:rsid w:val="006D0DD1"/>
    <w:rsid w:val="006D11EA"/>
    <w:rsid w:val="006D173E"/>
    <w:rsid w:val="006D22CC"/>
    <w:rsid w:val="006D32AF"/>
    <w:rsid w:val="006D33C9"/>
    <w:rsid w:val="006D3BE3"/>
    <w:rsid w:val="006D4430"/>
    <w:rsid w:val="006D6185"/>
    <w:rsid w:val="006D7761"/>
    <w:rsid w:val="006E19C8"/>
    <w:rsid w:val="006E2353"/>
    <w:rsid w:val="006E2C2C"/>
    <w:rsid w:val="006E39D5"/>
    <w:rsid w:val="006E59CB"/>
    <w:rsid w:val="006E5DB3"/>
    <w:rsid w:val="006E6540"/>
    <w:rsid w:val="006F1436"/>
    <w:rsid w:val="006F4D8E"/>
    <w:rsid w:val="006F4F4E"/>
    <w:rsid w:val="00701A30"/>
    <w:rsid w:val="007041F0"/>
    <w:rsid w:val="007046E0"/>
    <w:rsid w:val="0070664B"/>
    <w:rsid w:val="007109A6"/>
    <w:rsid w:val="00710CFB"/>
    <w:rsid w:val="00710DC8"/>
    <w:rsid w:val="00711A00"/>
    <w:rsid w:val="00711EA0"/>
    <w:rsid w:val="00711F7C"/>
    <w:rsid w:val="0071280E"/>
    <w:rsid w:val="007129C0"/>
    <w:rsid w:val="00712BFD"/>
    <w:rsid w:val="00713206"/>
    <w:rsid w:val="00713B3D"/>
    <w:rsid w:val="00715850"/>
    <w:rsid w:val="00716F2F"/>
    <w:rsid w:val="0071784F"/>
    <w:rsid w:val="00717B76"/>
    <w:rsid w:val="00717D58"/>
    <w:rsid w:val="00720436"/>
    <w:rsid w:val="00720514"/>
    <w:rsid w:val="00720DBE"/>
    <w:rsid w:val="007224E8"/>
    <w:rsid w:val="0072432F"/>
    <w:rsid w:val="00724B14"/>
    <w:rsid w:val="00725E1B"/>
    <w:rsid w:val="0072604E"/>
    <w:rsid w:val="0073033F"/>
    <w:rsid w:val="00731646"/>
    <w:rsid w:val="0073261F"/>
    <w:rsid w:val="00733A73"/>
    <w:rsid w:val="00735A0C"/>
    <w:rsid w:val="0073735A"/>
    <w:rsid w:val="007378DD"/>
    <w:rsid w:val="0074369F"/>
    <w:rsid w:val="0074433C"/>
    <w:rsid w:val="00744776"/>
    <w:rsid w:val="00751C31"/>
    <w:rsid w:val="00756B81"/>
    <w:rsid w:val="00757F71"/>
    <w:rsid w:val="007608C7"/>
    <w:rsid w:val="00760929"/>
    <w:rsid w:val="00763920"/>
    <w:rsid w:val="00766A22"/>
    <w:rsid w:val="00767EB8"/>
    <w:rsid w:val="00771E63"/>
    <w:rsid w:val="007733EA"/>
    <w:rsid w:val="007734D2"/>
    <w:rsid w:val="00773832"/>
    <w:rsid w:val="007744E7"/>
    <w:rsid w:val="00774F4B"/>
    <w:rsid w:val="00783C47"/>
    <w:rsid w:val="00783DD1"/>
    <w:rsid w:val="00785BE6"/>
    <w:rsid w:val="00786653"/>
    <w:rsid w:val="0078692A"/>
    <w:rsid w:val="007904A8"/>
    <w:rsid w:val="00790CA0"/>
    <w:rsid w:val="00791192"/>
    <w:rsid w:val="0079258D"/>
    <w:rsid w:val="00796581"/>
    <w:rsid w:val="00796E81"/>
    <w:rsid w:val="0079738A"/>
    <w:rsid w:val="0079773C"/>
    <w:rsid w:val="007A14C3"/>
    <w:rsid w:val="007A161B"/>
    <w:rsid w:val="007A1997"/>
    <w:rsid w:val="007A2196"/>
    <w:rsid w:val="007A257B"/>
    <w:rsid w:val="007A25E6"/>
    <w:rsid w:val="007A5B1A"/>
    <w:rsid w:val="007A6E83"/>
    <w:rsid w:val="007A72E2"/>
    <w:rsid w:val="007B2B93"/>
    <w:rsid w:val="007B2E21"/>
    <w:rsid w:val="007B312B"/>
    <w:rsid w:val="007B4B4E"/>
    <w:rsid w:val="007B6ED1"/>
    <w:rsid w:val="007B6FA1"/>
    <w:rsid w:val="007B7740"/>
    <w:rsid w:val="007C0ABC"/>
    <w:rsid w:val="007C196B"/>
    <w:rsid w:val="007D0469"/>
    <w:rsid w:val="007D0BCE"/>
    <w:rsid w:val="007D0DA9"/>
    <w:rsid w:val="007D266C"/>
    <w:rsid w:val="007D4FAA"/>
    <w:rsid w:val="007D5996"/>
    <w:rsid w:val="007E0439"/>
    <w:rsid w:val="007E1201"/>
    <w:rsid w:val="007E223E"/>
    <w:rsid w:val="007E3CD3"/>
    <w:rsid w:val="007E4C1A"/>
    <w:rsid w:val="007E4EB8"/>
    <w:rsid w:val="007E6F99"/>
    <w:rsid w:val="007F0F82"/>
    <w:rsid w:val="007F1136"/>
    <w:rsid w:val="007F40E4"/>
    <w:rsid w:val="007F5E1D"/>
    <w:rsid w:val="007F62FD"/>
    <w:rsid w:val="00800ACE"/>
    <w:rsid w:val="00800BF8"/>
    <w:rsid w:val="00800CEE"/>
    <w:rsid w:val="00801239"/>
    <w:rsid w:val="008015C5"/>
    <w:rsid w:val="0080198E"/>
    <w:rsid w:val="00801BB5"/>
    <w:rsid w:val="00802CA2"/>
    <w:rsid w:val="00802DFC"/>
    <w:rsid w:val="00805514"/>
    <w:rsid w:val="008060F4"/>
    <w:rsid w:val="00806E58"/>
    <w:rsid w:val="00807EB9"/>
    <w:rsid w:val="00810579"/>
    <w:rsid w:val="008110EE"/>
    <w:rsid w:val="00813EFD"/>
    <w:rsid w:val="00816D9A"/>
    <w:rsid w:val="00817546"/>
    <w:rsid w:val="0081790E"/>
    <w:rsid w:val="00820A20"/>
    <w:rsid w:val="0082280C"/>
    <w:rsid w:val="00822910"/>
    <w:rsid w:val="00823120"/>
    <w:rsid w:val="00823C80"/>
    <w:rsid w:val="0082491F"/>
    <w:rsid w:val="00825A12"/>
    <w:rsid w:val="00826AB5"/>
    <w:rsid w:val="0083063A"/>
    <w:rsid w:val="00834D3C"/>
    <w:rsid w:val="008352B6"/>
    <w:rsid w:val="0083689F"/>
    <w:rsid w:val="00840018"/>
    <w:rsid w:val="00840CE8"/>
    <w:rsid w:val="00840EDA"/>
    <w:rsid w:val="008427AC"/>
    <w:rsid w:val="00842A5C"/>
    <w:rsid w:val="00842F72"/>
    <w:rsid w:val="0084620A"/>
    <w:rsid w:val="0084654D"/>
    <w:rsid w:val="008465E1"/>
    <w:rsid w:val="00847021"/>
    <w:rsid w:val="00850306"/>
    <w:rsid w:val="00854470"/>
    <w:rsid w:val="00854EE0"/>
    <w:rsid w:val="00856A68"/>
    <w:rsid w:val="008613C5"/>
    <w:rsid w:val="00863162"/>
    <w:rsid w:val="008631B0"/>
    <w:rsid w:val="00865A81"/>
    <w:rsid w:val="00866862"/>
    <w:rsid w:val="0087003A"/>
    <w:rsid w:val="008710E5"/>
    <w:rsid w:val="00872499"/>
    <w:rsid w:val="008726DC"/>
    <w:rsid w:val="00873E80"/>
    <w:rsid w:val="0087402E"/>
    <w:rsid w:val="008772D3"/>
    <w:rsid w:val="00877F39"/>
    <w:rsid w:val="00880316"/>
    <w:rsid w:val="00880A0D"/>
    <w:rsid w:val="00881490"/>
    <w:rsid w:val="0088227A"/>
    <w:rsid w:val="00890358"/>
    <w:rsid w:val="00895832"/>
    <w:rsid w:val="00895F07"/>
    <w:rsid w:val="008972C7"/>
    <w:rsid w:val="008A2678"/>
    <w:rsid w:val="008A385C"/>
    <w:rsid w:val="008A4C36"/>
    <w:rsid w:val="008A6299"/>
    <w:rsid w:val="008B039B"/>
    <w:rsid w:val="008B06AD"/>
    <w:rsid w:val="008B5600"/>
    <w:rsid w:val="008B5651"/>
    <w:rsid w:val="008C0078"/>
    <w:rsid w:val="008C02F1"/>
    <w:rsid w:val="008C06EB"/>
    <w:rsid w:val="008C136B"/>
    <w:rsid w:val="008C1DAB"/>
    <w:rsid w:val="008C4FA6"/>
    <w:rsid w:val="008C7DC0"/>
    <w:rsid w:val="008D0B32"/>
    <w:rsid w:val="008D1E89"/>
    <w:rsid w:val="008D6067"/>
    <w:rsid w:val="008D7CD4"/>
    <w:rsid w:val="008E1653"/>
    <w:rsid w:val="008E17AF"/>
    <w:rsid w:val="008E1AD3"/>
    <w:rsid w:val="008E1D14"/>
    <w:rsid w:val="008E53D6"/>
    <w:rsid w:val="008E7164"/>
    <w:rsid w:val="008F07B0"/>
    <w:rsid w:val="008F2B8B"/>
    <w:rsid w:val="008F49A0"/>
    <w:rsid w:val="008F5067"/>
    <w:rsid w:val="008F5152"/>
    <w:rsid w:val="008F57C9"/>
    <w:rsid w:val="008F5E0E"/>
    <w:rsid w:val="009016A3"/>
    <w:rsid w:val="00902D3D"/>
    <w:rsid w:val="00903E27"/>
    <w:rsid w:val="00905E1A"/>
    <w:rsid w:val="00910092"/>
    <w:rsid w:val="0091208A"/>
    <w:rsid w:val="00912593"/>
    <w:rsid w:val="009137FB"/>
    <w:rsid w:val="00914C67"/>
    <w:rsid w:val="009155FE"/>
    <w:rsid w:val="0091563D"/>
    <w:rsid w:val="00915DEB"/>
    <w:rsid w:val="00916C03"/>
    <w:rsid w:val="009202AB"/>
    <w:rsid w:val="0092060A"/>
    <w:rsid w:val="00920E3A"/>
    <w:rsid w:val="0092106B"/>
    <w:rsid w:val="00921F99"/>
    <w:rsid w:val="0092289C"/>
    <w:rsid w:val="00924F5D"/>
    <w:rsid w:val="00925795"/>
    <w:rsid w:val="0092623B"/>
    <w:rsid w:val="0092631A"/>
    <w:rsid w:val="0092632C"/>
    <w:rsid w:val="00927024"/>
    <w:rsid w:val="009274BF"/>
    <w:rsid w:val="009275FE"/>
    <w:rsid w:val="00927ABC"/>
    <w:rsid w:val="00930A65"/>
    <w:rsid w:val="00934176"/>
    <w:rsid w:val="00936075"/>
    <w:rsid w:val="00936236"/>
    <w:rsid w:val="0094138C"/>
    <w:rsid w:val="00941AAF"/>
    <w:rsid w:val="00942D2D"/>
    <w:rsid w:val="00946213"/>
    <w:rsid w:val="009462FC"/>
    <w:rsid w:val="0095177D"/>
    <w:rsid w:val="00951838"/>
    <w:rsid w:val="0095264F"/>
    <w:rsid w:val="00953B60"/>
    <w:rsid w:val="0095632D"/>
    <w:rsid w:val="009565EF"/>
    <w:rsid w:val="009566DA"/>
    <w:rsid w:val="00956B04"/>
    <w:rsid w:val="00957178"/>
    <w:rsid w:val="00962063"/>
    <w:rsid w:val="00962797"/>
    <w:rsid w:val="00962FFB"/>
    <w:rsid w:val="00964499"/>
    <w:rsid w:val="00965154"/>
    <w:rsid w:val="009653D0"/>
    <w:rsid w:val="00967A81"/>
    <w:rsid w:val="0097062D"/>
    <w:rsid w:val="00970C2F"/>
    <w:rsid w:val="00972E2F"/>
    <w:rsid w:val="00973153"/>
    <w:rsid w:val="00973C79"/>
    <w:rsid w:val="00974CB2"/>
    <w:rsid w:val="00975833"/>
    <w:rsid w:val="00976155"/>
    <w:rsid w:val="00982731"/>
    <w:rsid w:val="00983C05"/>
    <w:rsid w:val="00984191"/>
    <w:rsid w:val="00984E7A"/>
    <w:rsid w:val="00985B41"/>
    <w:rsid w:val="009862B6"/>
    <w:rsid w:val="0098758B"/>
    <w:rsid w:val="00987BD3"/>
    <w:rsid w:val="00992D6F"/>
    <w:rsid w:val="009939DD"/>
    <w:rsid w:val="00993E29"/>
    <w:rsid w:val="009960C8"/>
    <w:rsid w:val="00997DD4"/>
    <w:rsid w:val="009A18AF"/>
    <w:rsid w:val="009A2320"/>
    <w:rsid w:val="009A548D"/>
    <w:rsid w:val="009A5800"/>
    <w:rsid w:val="009A69FA"/>
    <w:rsid w:val="009A79DC"/>
    <w:rsid w:val="009B1B67"/>
    <w:rsid w:val="009B1EA2"/>
    <w:rsid w:val="009B5148"/>
    <w:rsid w:val="009B52C3"/>
    <w:rsid w:val="009B5398"/>
    <w:rsid w:val="009B5FEC"/>
    <w:rsid w:val="009B64AF"/>
    <w:rsid w:val="009C057B"/>
    <w:rsid w:val="009C4A16"/>
    <w:rsid w:val="009C570A"/>
    <w:rsid w:val="009C5C2A"/>
    <w:rsid w:val="009C620B"/>
    <w:rsid w:val="009C69E5"/>
    <w:rsid w:val="009C7FC2"/>
    <w:rsid w:val="009D0588"/>
    <w:rsid w:val="009D0649"/>
    <w:rsid w:val="009D0BFE"/>
    <w:rsid w:val="009D375D"/>
    <w:rsid w:val="009D7081"/>
    <w:rsid w:val="009E0812"/>
    <w:rsid w:val="009E195F"/>
    <w:rsid w:val="009E3442"/>
    <w:rsid w:val="009E474B"/>
    <w:rsid w:val="009F2E22"/>
    <w:rsid w:val="009F39A5"/>
    <w:rsid w:val="009F3C6F"/>
    <w:rsid w:val="009F5B8E"/>
    <w:rsid w:val="00A01E0A"/>
    <w:rsid w:val="00A0207A"/>
    <w:rsid w:val="00A02B37"/>
    <w:rsid w:val="00A03CBA"/>
    <w:rsid w:val="00A03E1B"/>
    <w:rsid w:val="00A060BC"/>
    <w:rsid w:val="00A0710E"/>
    <w:rsid w:val="00A13B4B"/>
    <w:rsid w:val="00A146B2"/>
    <w:rsid w:val="00A14DEF"/>
    <w:rsid w:val="00A14FE8"/>
    <w:rsid w:val="00A15067"/>
    <w:rsid w:val="00A162F3"/>
    <w:rsid w:val="00A169CE"/>
    <w:rsid w:val="00A16CA5"/>
    <w:rsid w:val="00A1707E"/>
    <w:rsid w:val="00A179E7"/>
    <w:rsid w:val="00A21A85"/>
    <w:rsid w:val="00A22ACE"/>
    <w:rsid w:val="00A23D01"/>
    <w:rsid w:val="00A24767"/>
    <w:rsid w:val="00A24B9D"/>
    <w:rsid w:val="00A27650"/>
    <w:rsid w:val="00A30AF7"/>
    <w:rsid w:val="00A34AB4"/>
    <w:rsid w:val="00A34C96"/>
    <w:rsid w:val="00A34F2D"/>
    <w:rsid w:val="00A3642B"/>
    <w:rsid w:val="00A40F86"/>
    <w:rsid w:val="00A4294A"/>
    <w:rsid w:val="00A4315C"/>
    <w:rsid w:val="00A43835"/>
    <w:rsid w:val="00A47DB6"/>
    <w:rsid w:val="00A506B7"/>
    <w:rsid w:val="00A52F2A"/>
    <w:rsid w:val="00A52F5D"/>
    <w:rsid w:val="00A530E4"/>
    <w:rsid w:val="00A53604"/>
    <w:rsid w:val="00A53674"/>
    <w:rsid w:val="00A54CA0"/>
    <w:rsid w:val="00A54E19"/>
    <w:rsid w:val="00A55D6F"/>
    <w:rsid w:val="00A574BE"/>
    <w:rsid w:val="00A60CCB"/>
    <w:rsid w:val="00A61B5F"/>
    <w:rsid w:val="00A628B8"/>
    <w:rsid w:val="00A62BD5"/>
    <w:rsid w:val="00A6321B"/>
    <w:rsid w:val="00A63472"/>
    <w:rsid w:val="00A70511"/>
    <w:rsid w:val="00A7169F"/>
    <w:rsid w:val="00A74210"/>
    <w:rsid w:val="00A75993"/>
    <w:rsid w:val="00A75AB8"/>
    <w:rsid w:val="00A80258"/>
    <w:rsid w:val="00A840FA"/>
    <w:rsid w:val="00A85F7E"/>
    <w:rsid w:val="00A9454D"/>
    <w:rsid w:val="00A96517"/>
    <w:rsid w:val="00A965AA"/>
    <w:rsid w:val="00A96C03"/>
    <w:rsid w:val="00A97F84"/>
    <w:rsid w:val="00AA0377"/>
    <w:rsid w:val="00AA1603"/>
    <w:rsid w:val="00AA2262"/>
    <w:rsid w:val="00AA38A9"/>
    <w:rsid w:val="00AA429B"/>
    <w:rsid w:val="00AA5CB8"/>
    <w:rsid w:val="00AA6B8D"/>
    <w:rsid w:val="00AB1894"/>
    <w:rsid w:val="00AB22CB"/>
    <w:rsid w:val="00AB2B79"/>
    <w:rsid w:val="00AB2E8B"/>
    <w:rsid w:val="00AB3009"/>
    <w:rsid w:val="00AB34BB"/>
    <w:rsid w:val="00AB4914"/>
    <w:rsid w:val="00AB7094"/>
    <w:rsid w:val="00AC02D1"/>
    <w:rsid w:val="00AC0C24"/>
    <w:rsid w:val="00AC0EE4"/>
    <w:rsid w:val="00AC15BC"/>
    <w:rsid w:val="00AC168C"/>
    <w:rsid w:val="00AC1820"/>
    <w:rsid w:val="00AC1C03"/>
    <w:rsid w:val="00AC72C9"/>
    <w:rsid w:val="00AD16FB"/>
    <w:rsid w:val="00AD1845"/>
    <w:rsid w:val="00AD1A0D"/>
    <w:rsid w:val="00AD1D66"/>
    <w:rsid w:val="00AD2C61"/>
    <w:rsid w:val="00AD3135"/>
    <w:rsid w:val="00AD558E"/>
    <w:rsid w:val="00AD5962"/>
    <w:rsid w:val="00AD6756"/>
    <w:rsid w:val="00AE0146"/>
    <w:rsid w:val="00AE5497"/>
    <w:rsid w:val="00AE73F4"/>
    <w:rsid w:val="00AF04C9"/>
    <w:rsid w:val="00AF0C27"/>
    <w:rsid w:val="00AF28C0"/>
    <w:rsid w:val="00AF2951"/>
    <w:rsid w:val="00AF32BD"/>
    <w:rsid w:val="00AF5190"/>
    <w:rsid w:val="00AF6472"/>
    <w:rsid w:val="00AF669A"/>
    <w:rsid w:val="00AF6EB2"/>
    <w:rsid w:val="00B00F13"/>
    <w:rsid w:val="00B0118D"/>
    <w:rsid w:val="00B02FAD"/>
    <w:rsid w:val="00B05E41"/>
    <w:rsid w:val="00B06AB8"/>
    <w:rsid w:val="00B076F1"/>
    <w:rsid w:val="00B13662"/>
    <w:rsid w:val="00B211F6"/>
    <w:rsid w:val="00B21342"/>
    <w:rsid w:val="00B26D83"/>
    <w:rsid w:val="00B27AEB"/>
    <w:rsid w:val="00B30002"/>
    <w:rsid w:val="00B303E2"/>
    <w:rsid w:val="00B31053"/>
    <w:rsid w:val="00B31F28"/>
    <w:rsid w:val="00B34436"/>
    <w:rsid w:val="00B41100"/>
    <w:rsid w:val="00B425C9"/>
    <w:rsid w:val="00B44C19"/>
    <w:rsid w:val="00B45006"/>
    <w:rsid w:val="00B45689"/>
    <w:rsid w:val="00B51640"/>
    <w:rsid w:val="00B53BD7"/>
    <w:rsid w:val="00B53D8B"/>
    <w:rsid w:val="00B552D0"/>
    <w:rsid w:val="00B56DEF"/>
    <w:rsid w:val="00B572CD"/>
    <w:rsid w:val="00B615D0"/>
    <w:rsid w:val="00B619CD"/>
    <w:rsid w:val="00B61DC2"/>
    <w:rsid w:val="00B62BBE"/>
    <w:rsid w:val="00B66536"/>
    <w:rsid w:val="00B710C7"/>
    <w:rsid w:val="00B714CA"/>
    <w:rsid w:val="00B717BB"/>
    <w:rsid w:val="00B72617"/>
    <w:rsid w:val="00B76A51"/>
    <w:rsid w:val="00B77C6A"/>
    <w:rsid w:val="00B80047"/>
    <w:rsid w:val="00B8103C"/>
    <w:rsid w:val="00B835C0"/>
    <w:rsid w:val="00B86561"/>
    <w:rsid w:val="00B86B4C"/>
    <w:rsid w:val="00B914E7"/>
    <w:rsid w:val="00B92EFB"/>
    <w:rsid w:val="00B93BBF"/>
    <w:rsid w:val="00B945C3"/>
    <w:rsid w:val="00B97D25"/>
    <w:rsid w:val="00BA3489"/>
    <w:rsid w:val="00BA4230"/>
    <w:rsid w:val="00BA489F"/>
    <w:rsid w:val="00BA761B"/>
    <w:rsid w:val="00BB08DD"/>
    <w:rsid w:val="00BB0AB2"/>
    <w:rsid w:val="00BB0CB2"/>
    <w:rsid w:val="00BB0DCA"/>
    <w:rsid w:val="00BB2B9D"/>
    <w:rsid w:val="00BB4355"/>
    <w:rsid w:val="00BB50EC"/>
    <w:rsid w:val="00BC4945"/>
    <w:rsid w:val="00BC60C3"/>
    <w:rsid w:val="00BC74A5"/>
    <w:rsid w:val="00BD097B"/>
    <w:rsid w:val="00BD1873"/>
    <w:rsid w:val="00BD37B8"/>
    <w:rsid w:val="00BD50F9"/>
    <w:rsid w:val="00BD532A"/>
    <w:rsid w:val="00BD630D"/>
    <w:rsid w:val="00BD718E"/>
    <w:rsid w:val="00BD78F0"/>
    <w:rsid w:val="00BE1157"/>
    <w:rsid w:val="00BE2C32"/>
    <w:rsid w:val="00BE2E74"/>
    <w:rsid w:val="00BE32B0"/>
    <w:rsid w:val="00BE36D5"/>
    <w:rsid w:val="00BE6514"/>
    <w:rsid w:val="00BE6A30"/>
    <w:rsid w:val="00BE7B80"/>
    <w:rsid w:val="00BE7F6E"/>
    <w:rsid w:val="00BF0E11"/>
    <w:rsid w:val="00BF270F"/>
    <w:rsid w:val="00BF3F6C"/>
    <w:rsid w:val="00BF496E"/>
    <w:rsid w:val="00BF6E27"/>
    <w:rsid w:val="00C007C3"/>
    <w:rsid w:val="00C017D4"/>
    <w:rsid w:val="00C02457"/>
    <w:rsid w:val="00C0504E"/>
    <w:rsid w:val="00C05679"/>
    <w:rsid w:val="00C05889"/>
    <w:rsid w:val="00C05980"/>
    <w:rsid w:val="00C05B4F"/>
    <w:rsid w:val="00C0661A"/>
    <w:rsid w:val="00C078C3"/>
    <w:rsid w:val="00C10C34"/>
    <w:rsid w:val="00C112D9"/>
    <w:rsid w:val="00C12704"/>
    <w:rsid w:val="00C12A25"/>
    <w:rsid w:val="00C20AE1"/>
    <w:rsid w:val="00C2101E"/>
    <w:rsid w:val="00C213BE"/>
    <w:rsid w:val="00C231C4"/>
    <w:rsid w:val="00C24D17"/>
    <w:rsid w:val="00C258FF"/>
    <w:rsid w:val="00C25E34"/>
    <w:rsid w:val="00C30ACE"/>
    <w:rsid w:val="00C31171"/>
    <w:rsid w:val="00C31A06"/>
    <w:rsid w:val="00C32AB2"/>
    <w:rsid w:val="00C32C8D"/>
    <w:rsid w:val="00C3387D"/>
    <w:rsid w:val="00C37C44"/>
    <w:rsid w:val="00C37FE4"/>
    <w:rsid w:val="00C41051"/>
    <w:rsid w:val="00C41100"/>
    <w:rsid w:val="00C448D9"/>
    <w:rsid w:val="00C4523F"/>
    <w:rsid w:val="00C46F8C"/>
    <w:rsid w:val="00C47F8A"/>
    <w:rsid w:val="00C47FDE"/>
    <w:rsid w:val="00C51CCC"/>
    <w:rsid w:val="00C53A58"/>
    <w:rsid w:val="00C54C23"/>
    <w:rsid w:val="00C55199"/>
    <w:rsid w:val="00C55375"/>
    <w:rsid w:val="00C55F14"/>
    <w:rsid w:val="00C61B8C"/>
    <w:rsid w:val="00C638BB"/>
    <w:rsid w:val="00C65FE9"/>
    <w:rsid w:val="00C704C3"/>
    <w:rsid w:val="00C7067A"/>
    <w:rsid w:val="00C72660"/>
    <w:rsid w:val="00C7322E"/>
    <w:rsid w:val="00C73666"/>
    <w:rsid w:val="00C7415F"/>
    <w:rsid w:val="00C7603F"/>
    <w:rsid w:val="00C7725F"/>
    <w:rsid w:val="00C775D4"/>
    <w:rsid w:val="00C81ED0"/>
    <w:rsid w:val="00C829B3"/>
    <w:rsid w:val="00C82DDE"/>
    <w:rsid w:val="00C835C1"/>
    <w:rsid w:val="00C85D02"/>
    <w:rsid w:val="00C85D4B"/>
    <w:rsid w:val="00C86808"/>
    <w:rsid w:val="00C87087"/>
    <w:rsid w:val="00C908A7"/>
    <w:rsid w:val="00C91A98"/>
    <w:rsid w:val="00C91B26"/>
    <w:rsid w:val="00C91CDC"/>
    <w:rsid w:val="00C93667"/>
    <w:rsid w:val="00C93DEC"/>
    <w:rsid w:val="00CA0531"/>
    <w:rsid w:val="00CA2300"/>
    <w:rsid w:val="00CB0E38"/>
    <w:rsid w:val="00CB2A90"/>
    <w:rsid w:val="00CB45F9"/>
    <w:rsid w:val="00CB5B50"/>
    <w:rsid w:val="00CB6565"/>
    <w:rsid w:val="00CC13F2"/>
    <w:rsid w:val="00CC4707"/>
    <w:rsid w:val="00CC5322"/>
    <w:rsid w:val="00CD0473"/>
    <w:rsid w:val="00CD05A2"/>
    <w:rsid w:val="00CD0D87"/>
    <w:rsid w:val="00CD113B"/>
    <w:rsid w:val="00CD1E22"/>
    <w:rsid w:val="00CD291A"/>
    <w:rsid w:val="00CD523A"/>
    <w:rsid w:val="00CD6349"/>
    <w:rsid w:val="00CD7F40"/>
    <w:rsid w:val="00CE09A6"/>
    <w:rsid w:val="00CE354A"/>
    <w:rsid w:val="00CE4C2B"/>
    <w:rsid w:val="00CE7E5A"/>
    <w:rsid w:val="00CF00F8"/>
    <w:rsid w:val="00CF20C3"/>
    <w:rsid w:val="00CF32E7"/>
    <w:rsid w:val="00CF37C8"/>
    <w:rsid w:val="00CF4926"/>
    <w:rsid w:val="00CF596E"/>
    <w:rsid w:val="00D01066"/>
    <w:rsid w:val="00D012F4"/>
    <w:rsid w:val="00D0590C"/>
    <w:rsid w:val="00D05AFB"/>
    <w:rsid w:val="00D0632E"/>
    <w:rsid w:val="00D06FBD"/>
    <w:rsid w:val="00D07552"/>
    <w:rsid w:val="00D159D2"/>
    <w:rsid w:val="00D17A0C"/>
    <w:rsid w:val="00D17E26"/>
    <w:rsid w:val="00D17F5B"/>
    <w:rsid w:val="00D20492"/>
    <w:rsid w:val="00D218A7"/>
    <w:rsid w:val="00D23067"/>
    <w:rsid w:val="00D24979"/>
    <w:rsid w:val="00D2547C"/>
    <w:rsid w:val="00D2610D"/>
    <w:rsid w:val="00D2762A"/>
    <w:rsid w:val="00D27F7B"/>
    <w:rsid w:val="00D27FE9"/>
    <w:rsid w:val="00D3244D"/>
    <w:rsid w:val="00D326DA"/>
    <w:rsid w:val="00D33D99"/>
    <w:rsid w:val="00D3687F"/>
    <w:rsid w:val="00D41A59"/>
    <w:rsid w:val="00D423D4"/>
    <w:rsid w:val="00D52F09"/>
    <w:rsid w:val="00D53595"/>
    <w:rsid w:val="00D5543A"/>
    <w:rsid w:val="00D56471"/>
    <w:rsid w:val="00D6118F"/>
    <w:rsid w:val="00D61BF2"/>
    <w:rsid w:val="00D6214F"/>
    <w:rsid w:val="00D634D7"/>
    <w:rsid w:val="00D63A80"/>
    <w:rsid w:val="00D64488"/>
    <w:rsid w:val="00D665AF"/>
    <w:rsid w:val="00D67592"/>
    <w:rsid w:val="00D70BB9"/>
    <w:rsid w:val="00D71D46"/>
    <w:rsid w:val="00D72802"/>
    <w:rsid w:val="00D72B75"/>
    <w:rsid w:val="00D75B45"/>
    <w:rsid w:val="00D76EBD"/>
    <w:rsid w:val="00D772E9"/>
    <w:rsid w:val="00D77808"/>
    <w:rsid w:val="00D80057"/>
    <w:rsid w:val="00D82FAB"/>
    <w:rsid w:val="00D83587"/>
    <w:rsid w:val="00D86AFA"/>
    <w:rsid w:val="00D86C8C"/>
    <w:rsid w:val="00D87467"/>
    <w:rsid w:val="00D904EE"/>
    <w:rsid w:val="00D955D5"/>
    <w:rsid w:val="00D97250"/>
    <w:rsid w:val="00DA04E2"/>
    <w:rsid w:val="00DA090C"/>
    <w:rsid w:val="00DA276F"/>
    <w:rsid w:val="00DA2770"/>
    <w:rsid w:val="00DA2AD5"/>
    <w:rsid w:val="00DA5D04"/>
    <w:rsid w:val="00DA6054"/>
    <w:rsid w:val="00DA66D0"/>
    <w:rsid w:val="00DB2CAA"/>
    <w:rsid w:val="00DB3274"/>
    <w:rsid w:val="00DB5480"/>
    <w:rsid w:val="00DB6E1A"/>
    <w:rsid w:val="00DB70EA"/>
    <w:rsid w:val="00DB72B9"/>
    <w:rsid w:val="00DB7835"/>
    <w:rsid w:val="00DC005E"/>
    <w:rsid w:val="00DC2AE3"/>
    <w:rsid w:val="00DC62BA"/>
    <w:rsid w:val="00DC7274"/>
    <w:rsid w:val="00DD0B2C"/>
    <w:rsid w:val="00DD2134"/>
    <w:rsid w:val="00DD2CDE"/>
    <w:rsid w:val="00DD367A"/>
    <w:rsid w:val="00DD606D"/>
    <w:rsid w:val="00DD796C"/>
    <w:rsid w:val="00DE0468"/>
    <w:rsid w:val="00DE1FED"/>
    <w:rsid w:val="00DE307D"/>
    <w:rsid w:val="00DE7757"/>
    <w:rsid w:val="00DF00C1"/>
    <w:rsid w:val="00DF0CE9"/>
    <w:rsid w:val="00DF0FE5"/>
    <w:rsid w:val="00DF3DDE"/>
    <w:rsid w:val="00DF43CF"/>
    <w:rsid w:val="00DF7542"/>
    <w:rsid w:val="00E023A9"/>
    <w:rsid w:val="00E026A3"/>
    <w:rsid w:val="00E059EA"/>
    <w:rsid w:val="00E10623"/>
    <w:rsid w:val="00E13218"/>
    <w:rsid w:val="00E134A0"/>
    <w:rsid w:val="00E1450C"/>
    <w:rsid w:val="00E14C2A"/>
    <w:rsid w:val="00E17D0B"/>
    <w:rsid w:val="00E227D2"/>
    <w:rsid w:val="00E22C51"/>
    <w:rsid w:val="00E24D58"/>
    <w:rsid w:val="00E30BA9"/>
    <w:rsid w:val="00E30D48"/>
    <w:rsid w:val="00E31716"/>
    <w:rsid w:val="00E31731"/>
    <w:rsid w:val="00E31C7C"/>
    <w:rsid w:val="00E32A09"/>
    <w:rsid w:val="00E32AAA"/>
    <w:rsid w:val="00E3519F"/>
    <w:rsid w:val="00E364D6"/>
    <w:rsid w:val="00E36BEC"/>
    <w:rsid w:val="00E42540"/>
    <w:rsid w:val="00E45818"/>
    <w:rsid w:val="00E53455"/>
    <w:rsid w:val="00E560EF"/>
    <w:rsid w:val="00E5760F"/>
    <w:rsid w:val="00E618C5"/>
    <w:rsid w:val="00E620A7"/>
    <w:rsid w:val="00E64431"/>
    <w:rsid w:val="00E64C6D"/>
    <w:rsid w:val="00E66FFA"/>
    <w:rsid w:val="00E7081B"/>
    <w:rsid w:val="00E72D19"/>
    <w:rsid w:val="00E72D60"/>
    <w:rsid w:val="00E749E9"/>
    <w:rsid w:val="00E74C0D"/>
    <w:rsid w:val="00E760AE"/>
    <w:rsid w:val="00E774BC"/>
    <w:rsid w:val="00E812AE"/>
    <w:rsid w:val="00E8157B"/>
    <w:rsid w:val="00E81B4D"/>
    <w:rsid w:val="00E82A7C"/>
    <w:rsid w:val="00E849FC"/>
    <w:rsid w:val="00E85DAC"/>
    <w:rsid w:val="00E86BDA"/>
    <w:rsid w:val="00E90198"/>
    <w:rsid w:val="00E913D7"/>
    <w:rsid w:val="00E928AB"/>
    <w:rsid w:val="00E971FF"/>
    <w:rsid w:val="00E9775D"/>
    <w:rsid w:val="00EA008C"/>
    <w:rsid w:val="00EA00D7"/>
    <w:rsid w:val="00EA1897"/>
    <w:rsid w:val="00EA22AD"/>
    <w:rsid w:val="00EA6577"/>
    <w:rsid w:val="00EA69B9"/>
    <w:rsid w:val="00EA700F"/>
    <w:rsid w:val="00EA70FF"/>
    <w:rsid w:val="00EA72F4"/>
    <w:rsid w:val="00EB1D91"/>
    <w:rsid w:val="00EB45EC"/>
    <w:rsid w:val="00EB626C"/>
    <w:rsid w:val="00EB65DD"/>
    <w:rsid w:val="00EC081A"/>
    <w:rsid w:val="00EC0917"/>
    <w:rsid w:val="00EC32C1"/>
    <w:rsid w:val="00EC52E9"/>
    <w:rsid w:val="00EC5D9D"/>
    <w:rsid w:val="00EC5DA5"/>
    <w:rsid w:val="00EC69AB"/>
    <w:rsid w:val="00ED10DF"/>
    <w:rsid w:val="00ED2A7A"/>
    <w:rsid w:val="00ED470D"/>
    <w:rsid w:val="00ED54BE"/>
    <w:rsid w:val="00ED6202"/>
    <w:rsid w:val="00ED6BC0"/>
    <w:rsid w:val="00ED701C"/>
    <w:rsid w:val="00ED789E"/>
    <w:rsid w:val="00ED7A09"/>
    <w:rsid w:val="00EE1D91"/>
    <w:rsid w:val="00EE1DEC"/>
    <w:rsid w:val="00EE4077"/>
    <w:rsid w:val="00EE5C47"/>
    <w:rsid w:val="00EE7122"/>
    <w:rsid w:val="00EE7741"/>
    <w:rsid w:val="00EE7C82"/>
    <w:rsid w:val="00EF3530"/>
    <w:rsid w:val="00EF454E"/>
    <w:rsid w:val="00EF51BA"/>
    <w:rsid w:val="00F00017"/>
    <w:rsid w:val="00F000ED"/>
    <w:rsid w:val="00F04D0C"/>
    <w:rsid w:val="00F056C1"/>
    <w:rsid w:val="00F07349"/>
    <w:rsid w:val="00F11292"/>
    <w:rsid w:val="00F12D0D"/>
    <w:rsid w:val="00F145CC"/>
    <w:rsid w:val="00F14ACD"/>
    <w:rsid w:val="00F15B50"/>
    <w:rsid w:val="00F15C01"/>
    <w:rsid w:val="00F17189"/>
    <w:rsid w:val="00F17863"/>
    <w:rsid w:val="00F17930"/>
    <w:rsid w:val="00F17AF3"/>
    <w:rsid w:val="00F20619"/>
    <w:rsid w:val="00F20FF4"/>
    <w:rsid w:val="00F213AA"/>
    <w:rsid w:val="00F254C1"/>
    <w:rsid w:val="00F308CD"/>
    <w:rsid w:val="00F3091E"/>
    <w:rsid w:val="00F31547"/>
    <w:rsid w:val="00F317CA"/>
    <w:rsid w:val="00F36DC5"/>
    <w:rsid w:val="00F370DE"/>
    <w:rsid w:val="00F41510"/>
    <w:rsid w:val="00F418C2"/>
    <w:rsid w:val="00F42A12"/>
    <w:rsid w:val="00F43509"/>
    <w:rsid w:val="00F446AA"/>
    <w:rsid w:val="00F451DA"/>
    <w:rsid w:val="00F45416"/>
    <w:rsid w:val="00F50843"/>
    <w:rsid w:val="00F50E5A"/>
    <w:rsid w:val="00F51B48"/>
    <w:rsid w:val="00F549A1"/>
    <w:rsid w:val="00F55407"/>
    <w:rsid w:val="00F56C65"/>
    <w:rsid w:val="00F571E8"/>
    <w:rsid w:val="00F578F3"/>
    <w:rsid w:val="00F60B58"/>
    <w:rsid w:val="00F62750"/>
    <w:rsid w:val="00F62D43"/>
    <w:rsid w:val="00F631DF"/>
    <w:rsid w:val="00F63820"/>
    <w:rsid w:val="00F654BD"/>
    <w:rsid w:val="00F6573D"/>
    <w:rsid w:val="00F66449"/>
    <w:rsid w:val="00F66F62"/>
    <w:rsid w:val="00F72C35"/>
    <w:rsid w:val="00F74F9E"/>
    <w:rsid w:val="00F76798"/>
    <w:rsid w:val="00F76C0E"/>
    <w:rsid w:val="00F774C0"/>
    <w:rsid w:val="00F80925"/>
    <w:rsid w:val="00F81634"/>
    <w:rsid w:val="00F81DE5"/>
    <w:rsid w:val="00F9235D"/>
    <w:rsid w:val="00F97027"/>
    <w:rsid w:val="00F97C6E"/>
    <w:rsid w:val="00FA0EFD"/>
    <w:rsid w:val="00FA5982"/>
    <w:rsid w:val="00FA61F7"/>
    <w:rsid w:val="00FA65CE"/>
    <w:rsid w:val="00FB1883"/>
    <w:rsid w:val="00FB2884"/>
    <w:rsid w:val="00FB28B0"/>
    <w:rsid w:val="00FB31CF"/>
    <w:rsid w:val="00FB36C4"/>
    <w:rsid w:val="00FB45E3"/>
    <w:rsid w:val="00FB4A3F"/>
    <w:rsid w:val="00FB59F0"/>
    <w:rsid w:val="00FB5FA8"/>
    <w:rsid w:val="00FB79F5"/>
    <w:rsid w:val="00FB7AFD"/>
    <w:rsid w:val="00FC1AAE"/>
    <w:rsid w:val="00FC2064"/>
    <w:rsid w:val="00FC39DE"/>
    <w:rsid w:val="00FC4CEA"/>
    <w:rsid w:val="00FC4F60"/>
    <w:rsid w:val="00FC62D5"/>
    <w:rsid w:val="00FC76EF"/>
    <w:rsid w:val="00FD28DD"/>
    <w:rsid w:val="00FD4E99"/>
    <w:rsid w:val="00FD61DB"/>
    <w:rsid w:val="00FD7E5E"/>
    <w:rsid w:val="00FE12F0"/>
    <w:rsid w:val="00FE4053"/>
    <w:rsid w:val="00FE75CB"/>
    <w:rsid w:val="00FF0CAE"/>
    <w:rsid w:val="00FF15EA"/>
    <w:rsid w:val="00FF1C32"/>
    <w:rsid w:val="00FF1F23"/>
    <w:rsid w:val="00FF236E"/>
    <w:rsid w:val="00FF39AA"/>
    <w:rsid w:val="00FF42A2"/>
    <w:rsid w:val="00FF6C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10A45C5F"/>
  <w15:docId w15:val="{26B70E5A-65F1-4C24-8F09-091265B5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E3A"/>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E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0E3A"/>
    <w:rPr>
      <w:rFonts w:ascii="Calibri" w:eastAsia="Calibri" w:hAnsi="Calibri" w:cs="Times New Roman"/>
      <w:lang w:eastAsia="en-US"/>
    </w:rPr>
  </w:style>
  <w:style w:type="paragraph" w:styleId="Footer">
    <w:name w:val="footer"/>
    <w:basedOn w:val="Normal"/>
    <w:link w:val="FooterChar"/>
    <w:uiPriority w:val="99"/>
    <w:unhideWhenUsed/>
    <w:rsid w:val="00920E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0E3A"/>
    <w:rPr>
      <w:rFonts w:ascii="Calibri" w:eastAsia="Calibri" w:hAnsi="Calibri" w:cs="Times New Roman"/>
      <w:lang w:eastAsia="en-US"/>
    </w:rPr>
  </w:style>
  <w:style w:type="paragraph" w:styleId="EndnoteText">
    <w:name w:val="endnote text"/>
    <w:basedOn w:val="Normal"/>
    <w:link w:val="EndnoteTextChar"/>
    <w:uiPriority w:val="99"/>
    <w:unhideWhenUsed/>
    <w:rsid w:val="00920E3A"/>
    <w:rPr>
      <w:sz w:val="20"/>
      <w:szCs w:val="20"/>
    </w:rPr>
  </w:style>
  <w:style w:type="character" w:customStyle="1" w:styleId="EndnoteTextChar">
    <w:name w:val="Endnote Text Char"/>
    <w:basedOn w:val="DefaultParagraphFont"/>
    <w:link w:val="EndnoteText"/>
    <w:uiPriority w:val="99"/>
    <w:rsid w:val="00920E3A"/>
    <w:rPr>
      <w:rFonts w:ascii="Calibri" w:eastAsia="Calibri" w:hAnsi="Calibri" w:cs="Times New Roman"/>
      <w:sz w:val="20"/>
      <w:szCs w:val="20"/>
      <w:lang w:eastAsia="en-US"/>
    </w:rPr>
  </w:style>
  <w:style w:type="character" w:styleId="EndnoteReference">
    <w:name w:val="endnote reference"/>
    <w:uiPriority w:val="99"/>
    <w:semiHidden/>
    <w:unhideWhenUsed/>
    <w:rsid w:val="00920E3A"/>
    <w:rPr>
      <w:vertAlign w:val="superscript"/>
    </w:rPr>
  </w:style>
  <w:style w:type="paragraph" w:styleId="BalloonText">
    <w:name w:val="Balloon Text"/>
    <w:basedOn w:val="Normal"/>
    <w:link w:val="BalloonTextChar"/>
    <w:uiPriority w:val="99"/>
    <w:semiHidden/>
    <w:unhideWhenUsed/>
    <w:rsid w:val="00920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E3A"/>
    <w:rPr>
      <w:rFonts w:ascii="Tahoma" w:eastAsia="Calibri" w:hAnsi="Tahoma" w:cs="Tahoma"/>
      <w:sz w:val="16"/>
      <w:szCs w:val="16"/>
      <w:lang w:eastAsia="en-US"/>
    </w:rPr>
  </w:style>
  <w:style w:type="paragraph" w:styleId="ListParagraph">
    <w:name w:val="List Paragraph"/>
    <w:basedOn w:val="Normal"/>
    <w:uiPriority w:val="34"/>
    <w:qFormat/>
    <w:rsid w:val="00172851"/>
    <w:pPr>
      <w:ind w:left="720"/>
      <w:contextualSpacing/>
    </w:pPr>
    <w:rPr>
      <w:rFonts w:asciiTheme="minorHAnsi" w:eastAsiaTheme="minorEastAsia" w:hAnsiTheme="minorHAnsi" w:cstheme="minorBidi"/>
      <w:lang w:eastAsia="zh-TW"/>
    </w:rPr>
  </w:style>
  <w:style w:type="paragraph" w:styleId="FootnoteText">
    <w:name w:val="footnote text"/>
    <w:basedOn w:val="Normal"/>
    <w:link w:val="FootnoteTextChar"/>
    <w:uiPriority w:val="99"/>
    <w:semiHidden/>
    <w:unhideWhenUsed/>
    <w:rsid w:val="00A276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650"/>
    <w:rPr>
      <w:rFonts w:ascii="Calibri" w:eastAsia="Calibri" w:hAnsi="Calibri" w:cs="Times New Roman"/>
      <w:sz w:val="20"/>
      <w:szCs w:val="20"/>
      <w:lang w:eastAsia="en-US"/>
    </w:rPr>
  </w:style>
  <w:style w:type="character" w:styleId="FootnoteReference">
    <w:name w:val="footnote reference"/>
    <w:basedOn w:val="DefaultParagraphFont"/>
    <w:uiPriority w:val="99"/>
    <w:semiHidden/>
    <w:unhideWhenUsed/>
    <w:rsid w:val="00A27650"/>
    <w:rPr>
      <w:vertAlign w:val="superscript"/>
    </w:rPr>
  </w:style>
  <w:style w:type="character" w:styleId="Hyperlink">
    <w:name w:val="Hyperlink"/>
    <w:basedOn w:val="DefaultParagraphFont"/>
    <w:uiPriority w:val="99"/>
    <w:unhideWhenUsed/>
    <w:rsid w:val="00D23067"/>
    <w:rPr>
      <w:color w:val="0000FF" w:themeColor="hyperlink"/>
      <w:u w:val="single"/>
    </w:rPr>
  </w:style>
  <w:style w:type="paragraph" w:styleId="NoSpacing">
    <w:name w:val="No Spacing"/>
    <w:uiPriority w:val="1"/>
    <w:qFormat/>
    <w:rsid w:val="008060F4"/>
    <w:pPr>
      <w:spacing w:after="0" w:line="240" w:lineRule="auto"/>
    </w:pPr>
    <w:rPr>
      <w:rFonts w:ascii="Calibri" w:eastAsia="Calibri" w:hAnsi="Calibri" w:cs="Times New Roman"/>
      <w:lang w:eastAsia="en-US"/>
    </w:rPr>
  </w:style>
  <w:style w:type="table" w:styleId="TableGrid">
    <w:name w:val="Table Grid"/>
    <w:basedOn w:val="TableNormal"/>
    <w:uiPriority w:val="59"/>
    <w:rsid w:val="00D2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1585"/>
    <w:rPr>
      <w:sz w:val="16"/>
      <w:szCs w:val="16"/>
    </w:rPr>
  </w:style>
  <w:style w:type="paragraph" w:styleId="CommentText">
    <w:name w:val="annotation text"/>
    <w:basedOn w:val="Normal"/>
    <w:link w:val="CommentTextChar"/>
    <w:uiPriority w:val="99"/>
    <w:semiHidden/>
    <w:unhideWhenUsed/>
    <w:rsid w:val="002D1585"/>
    <w:pPr>
      <w:spacing w:line="240" w:lineRule="auto"/>
    </w:pPr>
    <w:rPr>
      <w:sz w:val="20"/>
      <w:szCs w:val="20"/>
    </w:rPr>
  </w:style>
  <w:style w:type="character" w:customStyle="1" w:styleId="CommentTextChar">
    <w:name w:val="Comment Text Char"/>
    <w:basedOn w:val="DefaultParagraphFont"/>
    <w:link w:val="CommentText"/>
    <w:uiPriority w:val="99"/>
    <w:semiHidden/>
    <w:rsid w:val="002D1585"/>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D1585"/>
    <w:rPr>
      <w:b/>
      <w:bCs/>
    </w:rPr>
  </w:style>
  <w:style w:type="character" w:customStyle="1" w:styleId="CommentSubjectChar">
    <w:name w:val="Comment Subject Char"/>
    <w:basedOn w:val="CommentTextChar"/>
    <w:link w:val="CommentSubject"/>
    <w:uiPriority w:val="99"/>
    <w:semiHidden/>
    <w:rsid w:val="002D1585"/>
    <w:rPr>
      <w:rFonts w:ascii="Calibri" w:eastAsia="Calibri" w:hAnsi="Calibri"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55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_rels/endnotes.xml.rels><?xml version="1.0" encoding="UTF-8" standalone="yes"?>
<Relationships xmlns="http://schemas.openxmlformats.org/package/2006/relationships"><Relationship Id="rId1" Type="http://schemas.openxmlformats.org/officeDocument/2006/relationships/hyperlink" Target="http://www.aspermontcapita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8B715-C2B5-4B39-AA9D-19E4C034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dc:creator>
  <cp:lastModifiedBy>Milos Milosevic</cp:lastModifiedBy>
  <cp:revision>2</cp:revision>
  <cp:lastPrinted>2019-11-08T15:59:00Z</cp:lastPrinted>
  <dcterms:created xsi:type="dcterms:W3CDTF">2020-05-08T09:58:00Z</dcterms:created>
  <dcterms:modified xsi:type="dcterms:W3CDTF">2020-05-08T09:58:00Z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1355243872</vt:i4>
  </property>
</Properties>
</file>