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9072"/>
      </w:tblGrid>
      <w:tr w:rsidR="00C31077" w:rsidRPr="00016181" w14:paraId="3D64C2E5" w14:textId="77777777" w:rsidTr="00C31077">
        <w:tc>
          <w:tcPr>
            <w:tcW w:w="9212" w:type="dxa"/>
            <w:shd w:val="clear" w:color="auto" w:fill="auto"/>
          </w:tcPr>
          <w:p w14:paraId="11FD4C4C" w14:textId="77777777" w:rsidR="00C31077" w:rsidRPr="00835938" w:rsidRDefault="00C31077" w:rsidP="0009796D">
            <w:pPr>
              <w:pStyle w:val="Heading1"/>
              <w:outlineLvl w:val="0"/>
              <w:rPr>
                <w:rFonts w:asciiTheme="minorHAnsi" w:hAnsiTheme="minorHAnsi"/>
                <w:color w:val="C00000"/>
                <w:sz w:val="48"/>
                <w:lang w:val="en-US"/>
              </w:rPr>
            </w:pPr>
            <w:r w:rsidRPr="007002A3">
              <w:rPr>
                <w:rFonts w:asciiTheme="minorHAnsi" w:hAnsiTheme="minorHAnsi"/>
                <w:color w:val="C00000"/>
                <w:sz w:val="40"/>
                <w:lang w:val="en-US"/>
              </w:rPr>
              <w:t xml:space="preserve">AMC Aspermont </w:t>
            </w:r>
            <w:r w:rsidR="007002A3" w:rsidRPr="007002A3">
              <w:rPr>
                <w:rFonts w:asciiTheme="minorHAnsi" w:hAnsiTheme="minorHAnsi"/>
                <w:color w:val="C00000"/>
                <w:sz w:val="40"/>
                <w:lang w:val="en-US"/>
              </w:rPr>
              <w:t xml:space="preserve">European </w:t>
            </w:r>
            <w:r w:rsidR="0009796D" w:rsidRPr="007002A3">
              <w:rPr>
                <w:rFonts w:asciiTheme="minorHAnsi" w:hAnsiTheme="minorHAnsi"/>
                <w:color w:val="C00000"/>
                <w:sz w:val="40"/>
                <w:lang w:val="en-US"/>
              </w:rPr>
              <w:t>Equity Rotator</w:t>
            </w:r>
            <w:r w:rsidRPr="007002A3">
              <w:rPr>
                <w:rFonts w:asciiTheme="minorHAnsi" w:hAnsiTheme="minorHAnsi"/>
                <w:color w:val="C00000"/>
                <w:sz w:val="40"/>
                <w:lang w:val="en-US"/>
              </w:rPr>
              <w:t xml:space="preserve"> Basket</w:t>
            </w:r>
          </w:p>
        </w:tc>
      </w:tr>
    </w:tbl>
    <w:p w14:paraId="5D95A960" w14:textId="65AB8B49" w:rsidR="00437B29" w:rsidRDefault="00437B29" w:rsidP="00613F03">
      <w:pPr>
        <w:spacing w:before="120" w:after="120"/>
        <w:jc w:val="center"/>
        <w:rPr>
          <w:b/>
          <w:sz w:val="24"/>
          <w:lang w:val="en-US"/>
        </w:rPr>
      </w:pPr>
      <w:r w:rsidRPr="00835938">
        <w:rPr>
          <w:b/>
          <w:sz w:val="24"/>
          <w:lang w:val="en-US"/>
        </w:rPr>
        <w:t xml:space="preserve">Product update as of </w:t>
      </w:r>
      <w:r w:rsidR="005110EC">
        <w:rPr>
          <w:b/>
          <w:sz w:val="24"/>
          <w:lang w:val="en-US"/>
        </w:rPr>
        <w:t>September 30</w:t>
      </w:r>
      <w:r w:rsidR="00423AE4">
        <w:rPr>
          <w:b/>
          <w:sz w:val="24"/>
          <w:lang w:val="en-US"/>
        </w:rPr>
        <w:t>,</w:t>
      </w:r>
      <w:r w:rsidR="00091112" w:rsidRPr="00835938">
        <w:rPr>
          <w:b/>
          <w:sz w:val="24"/>
          <w:lang w:val="en-US"/>
        </w:rPr>
        <w:t xml:space="preserve"> 2</w:t>
      </w:r>
      <w:r w:rsidR="00AF24DC">
        <w:rPr>
          <w:b/>
          <w:sz w:val="24"/>
          <w:lang w:val="en-US"/>
        </w:rPr>
        <w:t>0</w:t>
      </w:r>
      <w:r w:rsidR="00710B54">
        <w:rPr>
          <w:b/>
          <w:sz w:val="24"/>
          <w:lang w:val="en-US"/>
        </w:rPr>
        <w:t>20</w:t>
      </w:r>
    </w:p>
    <w:p w14:paraId="518FAE14" w14:textId="72B3C5D8" w:rsidR="008C618B" w:rsidRPr="00375E83" w:rsidRDefault="0009796D" w:rsidP="008C618B">
      <w:pPr>
        <w:spacing w:after="0"/>
        <w:rPr>
          <w:b/>
          <w:sz w:val="18"/>
          <w:lang w:val="en-US"/>
        </w:rPr>
      </w:pPr>
      <w:r w:rsidRPr="00375E83">
        <w:rPr>
          <w:b/>
          <w:sz w:val="18"/>
          <w:lang w:val="en-US"/>
        </w:rPr>
        <w:t>Certificate price</w:t>
      </w:r>
      <w:r w:rsidR="0094752E" w:rsidRPr="00375E83">
        <w:rPr>
          <w:b/>
          <w:sz w:val="18"/>
          <w:lang w:val="en-US"/>
        </w:rPr>
        <w:t xml:space="preserve"> (</w:t>
      </w:r>
      <w:r w:rsidR="005110EC">
        <w:rPr>
          <w:b/>
          <w:sz w:val="18"/>
          <w:lang w:val="en-US"/>
        </w:rPr>
        <w:t>September 30</w:t>
      </w:r>
      <w:r w:rsidR="00F147F4" w:rsidRPr="00375E83">
        <w:rPr>
          <w:b/>
          <w:sz w:val="18"/>
          <w:lang w:val="en-US"/>
        </w:rPr>
        <w:t>,</w:t>
      </w:r>
      <w:r w:rsidR="0094752E" w:rsidRPr="00375E83">
        <w:rPr>
          <w:b/>
          <w:sz w:val="18"/>
          <w:lang w:val="en-US"/>
        </w:rPr>
        <w:t xml:space="preserve"> </w:t>
      </w:r>
      <w:r w:rsidR="0094752E" w:rsidRPr="00BF7177">
        <w:rPr>
          <w:b/>
          <w:sz w:val="18"/>
          <w:lang w:val="en-US"/>
        </w:rPr>
        <w:t>20</w:t>
      </w:r>
      <w:r w:rsidR="00710B54">
        <w:rPr>
          <w:b/>
          <w:sz w:val="18"/>
          <w:lang w:val="en-US"/>
        </w:rPr>
        <w:t>20</w:t>
      </w:r>
      <w:r w:rsidR="0094752E" w:rsidRPr="00BF7177">
        <w:rPr>
          <w:b/>
          <w:sz w:val="18"/>
          <w:lang w:val="en-US"/>
        </w:rPr>
        <w:t>)</w:t>
      </w:r>
      <w:r w:rsidR="00091112" w:rsidRPr="00BF7177">
        <w:rPr>
          <w:b/>
          <w:sz w:val="18"/>
          <w:lang w:val="en-US"/>
        </w:rPr>
        <w:t xml:space="preserve">: </w:t>
      </w:r>
      <w:r w:rsidR="00BF190D" w:rsidRPr="00BF7177">
        <w:rPr>
          <w:b/>
          <w:sz w:val="18"/>
          <w:lang w:val="en-US"/>
        </w:rPr>
        <w:t>EUR</w:t>
      </w:r>
      <w:r w:rsidR="000C6B56" w:rsidRPr="00BF7177">
        <w:rPr>
          <w:b/>
          <w:sz w:val="18"/>
          <w:lang w:val="en-US"/>
        </w:rPr>
        <w:t xml:space="preserve"> </w:t>
      </w:r>
      <w:r w:rsidR="00B64F1A">
        <w:rPr>
          <w:b/>
          <w:sz w:val="18"/>
          <w:lang w:val="en-US"/>
        </w:rPr>
        <w:t>9</w:t>
      </w:r>
      <w:r w:rsidR="005110EC">
        <w:rPr>
          <w:b/>
          <w:sz w:val="18"/>
          <w:lang w:val="en-US"/>
        </w:rPr>
        <w:t>2</w:t>
      </w:r>
      <w:r w:rsidR="008773DA">
        <w:rPr>
          <w:b/>
          <w:sz w:val="18"/>
          <w:lang w:val="en-US"/>
        </w:rPr>
        <w:t>.</w:t>
      </w:r>
      <w:r w:rsidR="005110EC">
        <w:rPr>
          <w:b/>
          <w:sz w:val="18"/>
          <w:lang w:val="en-US"/>
        </w:rPr>
        <w:t>53</w:t>
      </w:r>
      <w:r w:rsidR="0078020F" w:rsidRPr="00BF7177">
        <w:rPr>
          <w:b/>
          <w:sz w:val="18"/>
          <w:lang w:val="en-US"/>
        </w:rPr>
        <w:t xml:space="preserve"> </w:t>
      </w:r>
      <w:r w:rsidR="00422DDA" w:rsidRPr="00BF7177">
        <w:rPr>
          <w:b/>
          <w:sz w:val="18"/>
          <w:lang w:val="en-US"/>
        </w:rPr>
        <w:t xml:space="preserve">monthly </w:t>
      </w:r>
      <w:r w:rsidR="001F37C1" w:rsidRPr="00BF7177">
        <w:rPr>
          <w:b/>
          <w:sz w:val="18"/>
          <w:lang w:val="en-US"/>
        </w:rPr>
        <w:t>p</w:t>
      </w:r>
      <w:r w:rsidR="00B37772" w:rsidRPr="00BF7177">
        <w:rPr>
          <w:b/>
          <w:sz w:val="18"/>
          <w:lang w:val="en-US"/>
        </w:rPr>
        <w:t>erformance:</w:t>
      </w:r>
      <w:r w:rsidR="007E60A2" w:rsidRPr="00BF7177">
        <w:rPr>
          <w:b/>
          <w:sz w:val="18"/>
          <w:lang w:val="en-US"/>
        </w:rPr>
        <w:t xml:space="preserve"> </w:t>
      </w:r>
      <w:r w:rsidR="005110EC">
        <w:rPr>
          <w:b/>
          <w:sz w:val="18"/>
          <w:lang w:val="en-US"/>
        </w:rPr>
        <w:t>-1.53</w:t>
      </w:r>
      <w:r w:rsidR="00091112" w:rsidRPr="00BF7177">
        <w:rPr>
          <w:b/>
          <w:sz w:val="18"/>
          <w:lang w:val="en-US"/>
        </w:rPr>
        <w:t>%</w:t>
      </w:r>
      <w:r w:rsidR="008C618B" w:rsidRPr="00BF7177">
        <w:rPr>
          <w:b/>
          <w:sz w:val="18"/>
          <w:lang w:val="en-US"/>
        </w:rPr>
        <w:t>, YTD:</w:t>
      </w:r>
      <w:r w:rsidR="004D4605" w:rsidRPr="00BF7177">
        <w:rPr>
          <w:b/>
          <w:sz w:val="18"/>
          <w:lang w:val="en-US"/>
        </w:rPr>
        <w:t xml:space="preserve"> </w:t>
      </w:r>
      <w:r w:rsidR="00710B54">
        <w:rPr>
          <w:b/>
          <w:sz w:val="18"/>
          <w:lang w:val="en-US"/>
        </w:rPr>
        <w:t>-</w:t>
      </w:r>
      <w:r w:rsidR="005110EC">
        <w:rPr>
          <w:b/>
          <w:sz w:val="18"/>
          <w:lang w:val="en-US"/>
        </w:rPr>
        <w:t>7</w:t>
      </w:r>
      <w:r w:rsidR="008773DA">
        <w:rPr>
          <w:b/>
          <w:sz w:val="18"/>
          <w:lang w:val="en-US"/>
        </w:rPr>
        <w:t>.</w:t>
      </w:r>
      <w:r w:rsidR="005110EC">
        <w:rPr>
          <w:b/>
          <w:sz w:val="18"/>
          <w:lang w:val="en-US"/>
        </w:rPr>
        <w:t>08</w:t>
      </w:r>
      <w:r w:rsidR="002363C5">
        <w:rPr>
          <w:b/>
          <w:sz w:val="18"/>
          <w:lang w:val="en-US"/>
        </w:rPr>
        <w:t>%</w:t>
      </w:r>
      <w:r w:rsidR="00375E83" w:rsidRPr="00BF7177">
        <w:rPr>
          <w:b/>
          <w:sz w:val="18"/>
          <w:lang w:val="en-US"/>
        </w:rPr>
        <w:t xml:space="preserve">, since inception: </w:t>
      </w:r>
      <w:r w:rsidR="005110EC">
        <w:rPr>
          <w:b/>
          <w:sz w:val="18"/>
          <w:lang w:val="en-US"/>
        </w:rPr>
        <w:t>+10</w:t>
      </w:r>
      <w:r w:rsidR="008773DA">
        <w:rPr>
          <w:b/>
          <w:sz w:val="18"/>
          <w:lang w:val="en-US"/>
        </w:rPr>
        <w:t>.</w:t>
      </w:r>
      <w:r w:rsidR="005110EC">
        <w:rPr>
          <w:b/>
          <w:sz w:val="18"/>
          <w:lang w:val="en-US"/>
        </w:rPr>
        <w:t>12</w:t>
      </w:r>
      <w:r w:rsidR="00375E83" w:rsidRPr="00BF7177">
        <w:rPr>
          <w:b/>
          <w:sz w:val="18"/>
          <w:lang w:val="en-US"/>
        </w:rPr>
        <w:t>%</w:t>
      </w:r>
    </w:p>
    <w:p w14:paraId="101605D1" w14:textId="77777777" w:rsidR="00307EFF" w:rsidRDefault="0085455F" w:rsidP="00331F6A">
      <w:pPr>
        <w:pStyle w:val="Heading1"/>
        <w:spacing w:before="240" w:after="120" w:line="240" w:lineRule="auto"/>
        <w:rPr>
          <w:rFonts w:asciiTheme="minorHAnsi" w:hAnsiTheme="minorHAnsi"/>
          <w:color w:val="C00000"/>
          <w:sz w:val="24"/>
          <w:lang w:val="en-US"/>
        </w:rPr>
      </w:pPr>
      <w:r w:rsidRPr="00835938">
        <w:rPr>
          <w:rFonts w:asciiTheme="minorHAnsi" w:hAnsiTheme="minorHAnsi"/>
          <w:color w:val="C00000"/>
          <w:sz w:val="24"/>
          <w:lang w:val="en-US"/>
        </w:rPr>
        <w:t xml:space="preserve">The Aspermont </w:t>
      </w:r>
      <w:r w:rsidR="007002A3">
        <w:rPr>
          <w:rFonts w:asciiTheme="minorHAnsi" w:hAnsiTheme="minorHAnsi"/>
          <w:color w:val="C00000"/>
          <w:sz w:val="24"/>
          <w:lang w:val="en-US"/>
        </w:rPr>
        <w:t xml:space="preserve">European </w:t>
      </w:r>
      <w:r w:rsidR="0009796D" w:rsidRPr="00835938">
        <w:rPr>
          <w:rFonts w:asciiTheme="minorHAnsi" w:hAnsiTheme="minorHAnsi"/>
          <w:color w:val="C00000"/>
          <w:sz w:val="24"/>
          <w:lang w:val="en-US"/>
        </w:rPr>
        <w:t>Equity Rotator</w:t>
      </w:r>
      <w:r w:rsidRPr="00835938">
        <w:rPr>
          <w:rFonts w:asciiTheme="minorHAnsi" w:hAnsiTheme="minorHAnsi"/>
          <w:color w:val="C00000"/>
          <w:sz w:val="24"/>
          <w:lang w:val="en-US"/>
        </w:rPr>
        <w:t xml:space="preserve"> Basket</w:t>
      </w:r>
    </w:p>
    <w:p w14:paraId="37E9E085" w14:textId="7A2152ED" w:rsidR="00307EFF" w:rsidRDefault="00307EFF" w:rsidP="00307EFF">
      <w:pPr>
        <w:spacing w:line="240" w:lineRule="auto"/>
        <w:jc w:val="both"/>
        <w:rPr>
          <w:sz w:val="18"/>
          <w:szCs w:val="18"/>
          <w:lang w:val="en-US"/>
        </w:rPr>
      </w:pPr>
      <w:r w:rsidRPr="00307EFF">
        <w:rPr>
          <w:sz w:val="18"/>
          <w:szCs w:val="18"/>
          <w:lang w:val="en-US"/>
        </w:rPr>
        <w:t>The Actively Managed Certificate (AMC) linked to the Aspermont</w:t>
      </w:r>
      <w:r w:rsidR="007002A3">
        <w:rPr>
          <w:sz w:val="18"/>
          <w:szCs w:val="18"/>
          <w:lang w:val="en-US"/>
        </w:rPr>
        <w:t xml:space="preserve"> European</w:t>
      </w:r>
      <w:r w:rsidRPr="00307EFF">
        <w:rPr>
          <w:sz w:val="18"/>
          <w:szCs w:val="18"/>
          <w:lang w:val="en-US"/>
        </w:rPr>
        <w:t xml:space="preserve"> Equity Rotator Basket gives investors the opportunity to invest in a dynamic, broadly diversified European equity portfolio. Since investments are made exclusively in indices, stock-specific risks are eliminated. The strategy is designed to give the manager the opportunity to add direct sector exposure</w:t>
      </w:r>
      <w:r w:rsidR="008C0330">
        <w:rPr>
          <w:sz w:val="18"/>
          <w:szCs w:val="18"/>
          <w:lang w:val="en-US"/>
        </w:rPr>
        <w:t xml:space="preserve"> by under/overweighting specific segment comparing to index weight</w:t>
      </w:r>
      <w:r w:rsidRPr="00307EFF">
        <w:rPr>
          <w:sz w:val="18"/>
          <w:szCs w:val="18"/>
          <w:lang w:val="en-US"/>
        </w:rPr>
        <w:t xml:space="preserve">. Target weightings are determined by both fundamental and technical aspects and are continuously reviewed and adjusted as necessary. We place emphasis on the relative strength indicator (RSI), which is a technical momentum indicator that compares the magnitude of recent gains to recent losses of the asset to identify overbought and oversold conditions. </w:t>
      </w:r>
    </w:p>
    <w:p w14:paraId="18BC590C" w14:textId="77777777" w:rsidR="00150331" w:rsidRPr="00307EFF" w:rsidRDefault="00150331" w:rsidP="00307EFF">
      <w:pPr>
        <w:spacing w:line="240" w:lineRule="auto"/>
        <w:jc w:val="both"/>
        <w:rPr>
          <w:color w:val="C00000"/>
          <w:sz w:val="18"/>
          <w:szCs w:val="18"/>
          <w:lang w:val="en-US"/>
        </w:rPr>
      </w:pPr>
    </w:p>
    <w:p w14:paraId="22570DA2" w14:textId="77777777" w:rsidR="00437B29" w:rsidRPr="00835938" w:rsidRDefault="008B0C4D" w:rsidP="00331F6A">
      <w:pPr>
        <w:pStyle w:val="Heading1"/>
        <w:spacing w:before="240" w:after="120" w:line="240" w:lineRule="auto"/>
        <w:rPr>
          <w:rFonts w:asciiTheme="minorHAnsi" w:hAnsiTheme="minorHAnsi"/>
          <w:color w:val="C00000"/>
          <w:sz w:val="24"/>
          <w:lang w:val="en-US"/>
        </w:rPr>
      </w:pPr>
      <w:r w:rsidRPr="00835938">
        <w:rPr>
          <w:rFonts w:asciiTheme="minorHAnsi" w:hAnsiTheme="minorHAnsi"/>
          <w:color w:val="C00000"/>
          <w:sz w:val="24"/>
          <w:lang w:val="en-US"/>
        </w:rPr>
        <w:t xml:space="preserve">Manager’s </w:t>
      </w:r>
      <w:r w:rsidR="00845763" w:rsidRPr="00835938">
        <w:rPr>
          <w:rFonts w:asciiTheme="minorHAnsi" w:hAnsiTheme="minorHAnsi"/>
          <w:color w:val="C00000"/>
          <w:sz w:val="24"/>
          <w:lang w:val="en-US"/>
        </w:rPr>
        <w:t>Comment</w:t>
      </w:r>
    </w:p>
    <w:tbl>
      <w:tblPr>
        <w:tblStyle w:val="TableGrid"/>
        <w:tblW w:w="1251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4697"/>
        <w:gridCol w:w="160"/>
        <w:gridCol w:w="7655"/>
      </w:tblGrid>
      <w:tr w:rsidR="00E37603" w:rsidRPr="00E02585" w14:paraId="36390812" w14:textId="77777777" w:rsidTr="00094ED5">
        <w:trPr>
          <w:trHeight w:val="7175"/>
        </w:trPr>
        <w:tc>
          <w:tcPr>
            <w:tcW w:w="4697" w:type="dxa"/>
            <w:shd w:val="clear" w:color="auto" w:fill="auto"/>
          </w:tcPr>
          <w:p w14:paraId="57C2167B" w14:textId="1E1CCC15" w:rsidR="00737F08" w:rsidRDefault="00737F08" w:rsidP="00F20E73">
            <w:pPr>
              <w:spacing w:after="120"/>
              <w:jc w:val="both"/>
              <w:rPr>
                <w:sz w:val="17"/>
                <w:szCs w:val="17"/>
                <w:lang w:val="en-US"/>
              </w:rPr>
            </w:pPr>
          </w:p>
          <w:p w14:paraId="3589EF10" w14:textId="076FAE50" w:rsidR="0092571C" w:rsidRDefault="004127C9" w:rsidP="00082AAD">
            <w:pPr>
              <w:spacing w:after="120"/>
              <w:jc w:val="both"/>
              <w:rPr>
                <w:sz w:val="17"/>
                <w:szCs w:val="17"/>
                <w:lang w:val="en-US"/>
              </w:rPr>
            </w:pPr>
            <w:r w:rsidRPr="00E06478">
              <w:rPr>
                <w:sz w:val="17"/>
                <w:szCs w:val="17"/>
                <w:lang w:val="en-US"/>
              </w:rPr>
              <w:t xml:space="preserve">The performance in </w:t>
            </w:r>
            <w:r w:rsidR="00660DF6">
              <w:rPr>
                <w:sz w:val="17"/>
                <w:szCs w:val="17"/>
                <w:lang w:val="en-US"/>
              </w:rPr>
              <w:t>September</w:t>
            </w:r>
            <w:r w:rsidR="00BA56F8">
              <w:rPr>
                <w:sz w:val="17"/>
                <w:szCs w:val="17"/>
                <w:lang w:val="en-US"/>
              </w:rPr>
              <w:t xml:space="preserve"> </w:t>
            </w:r>
            <w:r w:rsidR="004149B5" w:rsidRPr="00E06478">
              <w:rPr>
                <w:sz w:val="17"/>
                <w:szCs w:val="17"/>
                <w:lang w:val="en-US"/>
              </w:rPr>
              <w:t xml:space="preserve">was </w:t>
            </w:r>
            <w:r w:rsidR="005110EC">
              <w:rPr>
                <w:sz w:val="17"/>
                <w:szCs w:val="17"/>
                <w:lang w:val="en-US"/>
              </w:rPr>
              <w:t>-1</w:t>
            </w:r>
            <w:r w:rsidR="008773DA" w:rsidRPr="00E06478">
              <w:rPr>
                <w:sz w:val="17"/>
                <w:szCs w:val="17"/>
                <w:lang w:val="en-US"/>
              </w:rPr>
              <w:t>.</w:t>
            </w:r>
            <w:r w:rsidR="005110EC">
              <w:rPr>
                <w:sz w:val="17"/>
                <w:szCs w:val="17"/>
                <w:lang w:val="en-US"/>
              </w:rPr>
              <w:t>53</w:t>
            </w:r>
            <w:r w:rsidR="004149B5" w:rsidRPr="00E06478">
              <w:rPr>
                <w:sz w:val="17"/>
                <w:szCs w:val="17"/>
                <w:lang w:val="en-US"/>
              </w:rPr>
              <w:t xml:space="preserve">% </w:t>
            </w:r>
            <w:r w:rsidR="008773DA" w:rsidRPr="00E06478">
              <w:rPr>
                <w:sz w:val="17"/>
                <w:szCs w:val="17"/>
                <w:lang w:val="en-US"/>
              </w:rPr>
              <w:t xml:space="preserve">with </w:t>
            </w:r>
            <w:r w:rsidR="005110EC">
              <w:rPr>
                <w:sz w:val="17"/>
                <w:szCs w:val="17"/>
                <w:lang w:val="en-US"/>
              </w:rPr>
              <w:t>6</w:t>
            </w:r>
            <w:r w:rsidR="00905E53">
              <w:rPr>
                <w:sz w:val="17"/>
                <w:szCs w:val="17"/>
                <w:lang w:val="en-US"/>
              </w:rPr>
              <w:t xml:space="preserve">% </w:t>
            </w:r>
            <w:r w:rsidR="00BA56F8">
              <w:rPr>
                <w:sz w:val="17"/>
                <w:szCs w:val="17"/>
                <w:lang w:val="en-US"/>
              </w:rPr>
              <w:t>presence of cash</w:t>
            </w:r>
            <w:r w:rsidRPr="00E06478">
              <w:rPr>
                <w:sz w:val="17"/>
                <w:szCs w:val="17"/>
                <w:lang w:val="en-US"/>
              </w:rPr>
              <w:t>.</w:t>
            </w:r>
            <w:r w:rsidR="00155076">
              <w:rPr>
                <w:sz w:val="17"/>
                <w:szCs w:val="17"/>
                <w:lang w:val="en-US"/>
              </w:rPr>
              <w:t xml:space="preserve"> </w:t>
            </w:r>
            <w:r w:rsidR="009D2D5C">
              <w:rPr>
                <w:sz w:val="17"/>
                <w:szCs w:val="17"/>
                <w:lang w:val="en-US"/>
              </w:rPr>
              <w:t>Given that d</w:t>
            </w:r>
            <w:r w:rsidR="00B64F1A">
              <w:rPr>
                <w:sz w:val="17"/>
                <w:szCs w:val="17"/>
                <w:lang w:val="en-US"/>
              </w:rPr>
              <w:t xml:space="preserve">uring same time, our benchmark </w:t>
            </w:r>
            <w:proofErr w:type="spellStart"/>
            <w:r w:rsidR="00B64F1A">
              <w:rPr>
                <w:sz w:val="17"/>
                <w:szCs w:val="17"/>
                <w:lang w:val="en-US"/>
              </w:rPr>
              <w:t>Eurostoxx</w:t>
            </w:r>
            <w:proofErr w:type="spellEnd"/>
            <w:r w:rsidR="00B64F1A">
              <w:rPr>
                <w:sz w:val="17"/>
                <w:szCs w:val="17"/>
                <w:lang w:val="en-US"/>
              </w:rPr>
              <w:t xml:space="preserve"> 600 </w:t>
            </w:r>
            <w:r w:rsidR="009D2D5C">
              <w:rPr>
                <w:sz w:val="17"/>
                <w:szCs w:val="17"/>
                <w:lang w:val="en-US"/>
              </w:rPr>
              <w:t xml:space="preserve">declined -1.48%, </w:t>
            </w:r>
            <w:r w:rsidR="00905E53">
              <w:rPr>
                <w:sz w:val="17"/>
                <w:szCs w:val="17"/>
                <w:lang w:val="en-US"/>
              </w:rPr>
              <w:t xml:space="preserve">our portfolio still has </w:t>
            </w:r>
            <w:r w:rsidR="00E17720">
              <w:rPr>
                <w:sz w:val="17"/>
                <w:szCs w:val="17"/>
                <w:lang w:val="en-US"/>
              </w:rPr>
              <w:t>considerable +6.09% difference since beginning of the year comparing to benchmark</w:t>
            </w:r>
            <w:r w:rsidR="00905E53">
              <w:rPr>
                <w:sz w:val="17"/>
                <w:szCs w:val="17"/>
                <w:lang w:val="en-US"/>
              </w:rPr>
              <w:t>.</w:t>
            </w:r>
            <w:r w:rsidR="00E17720">
              <w:rPr>
                <w:sz w:val="17"/>
                <w:szCs w:val="17"/>
                <w:lang w:val="en-US"/>
              </w:rPr>
              <w:t xml:space="preserve"> End of summer brought concerns of possible second corona wave</w:t>
            </w:r>
            <w:r w:rsidR="009D2D5C">
              <w:rPr>
                <w:sz w:val="17"/>
                <w:szCs w:val="17"/>
                <w:lang w:val="en-US"/>
              </w:rPr>
              <w:t xml:space="preserve"> alongside with correction of tech stocks in USA resulting with moderate decline of European markets and lower volatility in September. </w:t>
            </w:r>
            <w:r w:rsidR="00905E53">
              <w:rPr>
                <w:sz w:val="17"/>
                <w:szCs w:val="17"/>
                <w:lang w:val="en-US"/>
              </w:rPr>
              <w:t xml:space="preserve"> </w:t>
            </w:r>
          </w:p>
          <w:p w14:paraId="02B15C9B" w14:textId="15E73917" w:rsidR="00082AAD" w:rsidRPr="00672B47" w:rsidRDefault="009D2D5C" w:rsidP="005B0466">
            <w:pPr>
              <w:spacing w:after="120"/>
              <w:jc w:val="both"/>
              <w:rPr>
                <w:sz w:val="17"/>
                <w:szCs w:val="17"/>
                <w:lang w:val="en-US"/>
              </w:rPr>
            </w:pPr>
            <w:r>
              <w:rPr>
                <w:sz w:val="17"/>
                <w:szCs w:val="17"/>
                <w:lang w:val="en-US"/>
              </w:rPr>
              <w:t>Most of 19 sectors were negative in previous month, with Household goods (+3.65%) as best performer. On the other hand, Banks (-11.9%) and Oil (-8.2%) recorded significant drop</w:t>
            </w:r>
            <w:r w:rsidR="00C21C30">
              <w:rPr>
                <w:sz w:val="17"/>
                <w:szCs w:val="17"/>
                <w:lang w:val="en-US"/>
              </w:rPr>
              <w:t xml:space="preserve"> as investors incorporating virus outbreak into higher value of loan impairments for Banks and lower demand for oil products. Speaking of our sector contributors/positioning, overweighting Household good sector (+2.5%) in September enhanced </w:t>
            </w:r>
            <w:r w:rsidR="00B47D06">
              <w:rPr>
                <w:sz w:val="17"/>
                <w:szCs w:val="17"/>
                <w:lang w:val="en-US"/>
              </w:rPr>
              <w:t>result to +0.</w:t>
            </w:r>
            <w:r w:rsidR="00C21C30">
              <w:rPr>
                <w:sz w:val="17"/>
                <w:szCs w:val="17"/>
                <w:lang w:val="en-US"/>
              </w:rPr>
              <w:t>32%.</w:t>
            </w:r>
            <w:r w:rsidR="00B47D06">
              <w:rPr>
                <w:sz w:val="17"/>
                <w:szCs w:val="17"/>
                <w:lang w:val="en-US"/>
              </w:rPr>
              <w:t xml:space="preserve"> Both luxury and consumer part of the sector advanced on news of major brands improving sales in Q2. We slightly underweight (-2.5%) biggest position in index, Healthcare which had small positive performance (+0.20%). Decline of banking sector was accelerated after report of suspicious transactions going mostly thru HSBC, prior to this we reduce sector from +2.5% to neutral and limit losses to -0.77%. In other problematic sector, Oil &amp; Gas we reduce exposure to 0 and therefore made no losses.</w:t>
            </w:r>
            <w:r w:rsidR="005B0466">
              <w:rPr>
                <w:sz w:val="17"/>
                <w:szCs w:val="17"/>
                <w:lang w:val="en-US"/>
              </w:rPr>
              <w:t xml:space="preserve"> Among our other positions, keeping Insurance underweighted by -2.5% proved to be good decision given the sector was third worst performer, while overweighting Tech (+2.5%) and underweighting Food &amp; Beverage by same amount had no impact on performance because both sectors performed in line with the overall index.</w:t>
            </w:r>
            <w:r w:rsidR="00B47D06">
              <w:rPr>
                <w:sz w:val="17"/>
                <w:szCs w:val="17"/>
                <w:lang w:val="en-US"/>
              </w:rPr>
              <w:t xml:space="preserve">   </w:t>
            </w:r>
            <w:r w:rsidR="002C7A91">
              <w:rPr>
                <w:sz w:val="17"/>
                <w:szCs w:val="17"/>
                <w:lang w:val="en-US"/>
              </w:rPr>
              <w:t xml:space="preserve"> </w:t>
            </w:r>
          </w:p>
        </w:tc>
        <w:tc>
          <w:tcPr>
            <w:tcW w:w="160" w:type="dxa"/>
            <w:tcBorders>
              <w:right w:val="single" w:sz="4" w:space="0" w:color="C00000"/>
            </w:tcBorders>
          </w:tcPr>
          <w:p w14:paraId="693A6A31" w14:textId="77777777" w:rsidR="000D26E3" w:rsidRPr="00835938" w:rsidRDefault="000D26E3" w:rsidP="00A90198">
            <w:pPr>
              <w:jc w:val="center"/>
              <w:rPr>
                <w:b/>
                <w:sz w:val="18"/>
                <w:lang w:val="en-US"/>
              </w:rPr>
            </w:pPr>
          </w:p>
        </w:tc>
        <w:tc>
          <w:tcPr>
            <w:tcW w:w="7655" w:type="dxa"/>
            <w:tcBorders>
              <w:top w:val="single" w:sz="4" w:space="0" w:color="C00000"/>
              <w:bottom w:val="single" w:sz="4" w:space="0" w:color="C00000"/>
              <w:right w:val="single" w:sz="4" w:space="0" w:color="C00000"/>
            </w:tcBorders>
          </w:tcPr>
          <w:p w14:paraId="0108C960" w14:textId="77777777" w:rsidR="00307431" w:rsidRDefault="00307431" w:rsidP="002845B0">
            <w:pPr>
              <w:rPr>
                <w:sz w:val="16"/>
                <w:szCs w:val="16"/>
                <w:lang w:val="en-US"/>
              </w:rPr>
            </w:pPr>
          </w:p>
          <w:p w14:paraId="286DC028" w14:textId="77777777" w:rsidR="00E30931" w:rsidRDefault="00E30931" w:rsidP="002845B0">
            <w:pPr>
              <w:rPr>
                <w:sz w:val="16"/>
                <w:szCs w:val="16"/>
                <w:lang w:val="en-US"/>
              </w:rPr>
            </w:pPr>
          </w:p>
          <w:p w14:paraId="3CDC193B" w14:textId="64D9650A" w:rsidR="00E02585" w:rsidRPr="00E30931" w:rsidRDefault="00660DF6" w:rsidP="00E30931">
            <w:pPr>
              <w:rPr>
                <w:sz w:val="16"/>
                <w:szCs w:val="16"/>
                <w:lang w:val="en-US"/>
              </w:rPr>
            </w:pPr>
            <w:r w:rsidRPr="00660DF6">
              <w:rPr>
                <w:noProof/>
                <w:sz w:val="16"/>
                <w:szCs w:val="16"/>
                <w:lang w:val="en-US" w:eastAsia="en-US"/>
              </w:rPr>
              <w:drawing>
                <wp:inline distT="0" distB="0" distL="0" distR="0" wp14:anchorId="4202CBC4" wp14:editId="1AA337A8">
                  <wp:extent cx="3162300" cy="1987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4247" cy="1995429"/>
                          </a:xfrm>
                          <a:prstGeom prst="rect">
                            <a:avLst/>
                          </a:prstGeom>
                          <a:noFill/>
                          <a:ln>
                            <a:noFill/>
                          </a:ln>
                        </pic:spPr>
                      </pic:pic>
                    </a:graphicData>
                  </a:graphic>
                </wp:inline>
              </w:drawing>
            </w:r>
          </w:p>
          <w:p w14:paraId="5D4C3581" w14:textId="4689C47F" w:rsidR="00CB3495" w:rsidRPr="00835938" w:rsidRDefault="000D26E3" w:rsidP="004F1E7A">
            <w:pPr>
              <w:ind w:left="101"/>
              <w:rPr>
                <w:i/>
                <w:sz w:val="14"/>
                <w:szCs w:val="14"/>
                <w:lang w:val="en-US"/>
              </w:rPr>
            </w:pPr>
            <w:r w:rsidRPr="00835938">
              <w:rPr>
                <w:i/>
                <w:sz w:val="14"/>
                <w:szCs w:val="14"/>
                <w:lang w:val="en-US"/>
              </w:rPr>
              <w:t>Performance since launch vs. STOXX Europe 600 (rebased)Source</w:t>
            </w:r>
            <w:r w:rsidR="00AA14A0" w:rsidRPr="00835938">
              <w:rPr>
                <w:i/>
                <w:sz w:val="14"/>
                <w:szCs w:val="14"/>
                <w:lang w:val="en-US"/>
              </w:rPr>
              <w:t>:</w:t>
            </w:r>
            <w:r w:rsidRPr="00835938">
              <w:rPr>
                <w:i/>
                <w:sz w:val="14"/>
                <w:szCs w:val="14"/>
                <w:lang w:val="en-US"/>
              </w:rPr>
              <w:t xml:space="preserve"> Bloomberg</w:t>
            </w:r>
          </w:p>
          <w:p w14:paraId="17A5E710" w14:textId="77777777" w:rsidR="00925A45" w:rsidRPr="00835938" w:rsidRDefault="00925A45" w:rsidP="000D26E3">
            <w:pPr>
              <w:rPr>
                <w:sz w:val="16"/>
                <w:szCs w:val="16"/>
                <w:lang w:val="en-US"/>
              </w:rPr>
            </w:pPr>
          </w:p>
          <w:p w14:paraId="529E0E41" w14:textId="4EBDFF40" w:rsidR="00C26C53" w:rsidRPr="00555AD4" w:rsidRDefault="00660DF6" w:rsidP="005562E9">
            <w:pPr>
              <w:rPr>
                <w:sz w:val="16"/>
                <w:szCs w:val="16"/>
                <w:lang w:val="en-US"/>
              </w:rPr>
            </w:pPr>
            <w:r w:rsidRPr="00660DF6">
              <w:rPr>
                <w:noProof/>
                <w:sz w:val="16"/>
                <w:szCs w:val="16"/>
                <w:lang w:val="en-US" w:eastAsia="en-US"/>
              </w:rPr>
              <w:drawing>
                <wp:inline distT="0" distB="0" distL="0" distR="0" wp14:anchorId="7455D412" wp14:editId="640BE5C5">
                  <wp:extent cx="3359305" cy="2000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8060" cy="2005463"/>
                          </a:xfrm>
                          <a:prstGeom prst="rect">
                            <a:avLst/>
                          </a:prstGeom>
                          <a:noFill/>
                          <a:ln>
                            <a:noFill/>
                          </a:ln>
                        </pic:spPr>
                      </pic:pic>
                    </a:graphicData>
                  </a:graphic>
                </wp:inline>
              </w:drawing>
            </w:r>
          </w:p>
          <w:p w14:paraId="1495AB5B" w14:textId="77777777" w:rsidR="00E02585" w:rsidRPr="00E02585" w:rsidRDefault="00E02585" w:rsidP="00AA14A0">
            <w:pPr>
              <w:ind w:left="101"/>
              <w:rPr>
                <w:i/>
                <w:sz w:val="12"/>
                <w:szCs w:val="12"/>
                <w:lang w:val="en-US"/>
              </w:rPr>
            </w:pPr>
          </w:p>
          <w:p w14:paraId="4CDB906F" w14:textId="77777777" w:rsidR="000D26E3" w:rsidRPr="00835938" w:rsidRDefault="00C47704" w:rsidP="00AA14A0">
            <w:pPr>
              <w:ind w:left="101"/>
              <w:rPr>
                <w:i/>
                <w:sz w:val="14"/>
                <w:szCs w:val="14"/>
                <w:lang w:val="en-US"/>
              </w:rPr>
            </w:pPr>
            <w:r w:rsidRPr="00835938">
              <w:rPr>
                <w:i/>
                <w:sz w:val="14"/>
                <w:szCs w:val="14"/>
                <w:lang w:val="en-US"/>
              </w:rPr>
              <w:t xml:space="preserve">AMC current </w:t>
            </w:r>
            <w:r w:rsidR="00F17C4E">
              <w:rPr>
                <w:i/>
                <w:sz w:val="14"/>
                <w:szCs w:val="14"/>
                <w:lang w:val="en-US"/>
              </w:rPr>
              <w:t>year</w:t>
            </w:r>
            <w:r w:rsidRPr="00835938">
              <w:rPr>
                <w:i/>
                <w:sz w:val="14"/>
                <w:szCs w:val="14"/>
                <w:lang w:val="en-US"/>
              </w:rPr>
              <w:t xml:space="preserve"> p</w:t>
            </w:r>
            <w:r w:rsidR="000D26E3" w:rsidRPr="00835938">
              <w:rPr>
                <w:i/>
                <w:sz w:val="14"/>
                <w:szCs w:val="14"/>
                <w:lang w:val="en-US"/>
              </w:rPr>
              <w:t>erformance vs. STOXX Europe 600 (rebased)</w:t>
            </w:r>
          </w:p>
          <w:p w14:paraId="36DF7930" w14:textId="0747A478" w:rsidR="00F12847" w:rsidRPr="00CB3495" w:rsidRDefault="000D26E3" w:rsidP="00CB3495">
            <w:pPr>
              <w:ind w:left="101"/>
              <w:rPr>
                <w:i/>
                <w:sz w:val="14"/>
                <w:szCs w:val="14"/>
                <w:lang w:val="en-US"/>
              </w:rPr>
            </w:pPr>
            <w:r w:rsidRPr="00835938">
              <w:rPr>
                <w:i/>
                <w:sz w:val="14"/>
                <w:szCs w:val="14"/>
                <w:lang w:val="en-US"/>
              </w:rPr>
              <w:t>Source</w:t>
            </w:r>
            <w:r w:rsidR="00AA14A0" w:rsidRPr="00835938">
              <w:rPr>
                <w:i/>
                <w:sz w:val="14"/>
                <w:szCs w:val="14"/>
                <w:lang w:val="en-US"/>
              </w:rPr>
              <w:t>:</w:t>
            </w:r>
            <w:r w:rsidRPr="00835938">
              <w:rPr>
                <w:i/>
                <w:sz w:val="14"/>
                <w:szCs w:val="14"/>
                <w:lang w:val="en-US"/>
              </w:rPr>
              <w:t xml:space="preserve"> Bloomberg</w:t>
            </w:r>
          </w:p>
        </w:tc>
      </w:tr>
    </w:tbl>
    <w:p w14:paraId="44F76804" w14:textId="4513BB33" w:rsidR="0078187E" w:rsidRPr="008C1C24" w:rsidRDefault="0078187E" w:rsidP="00447E2F">
      <w:pPr>
        <w:pStyle w:val="Heading1"/>
        <w:spacing w:before="240" w:after="120" w:line="240" w:lineRule="auto"/>
        <w:rPr>
          <w:lang w:val="en-US"/>
        </w:rPr>
      </w:pPr>
      <w:r w:rsidRPr="00447E2F">
        <w:rPr>
          <w:rFonts w:asciiTheme="minorHAnsi" w:hAnsiTheme="minorHAnsi"/>
          <w:color w:val="C00000"/>
          <w:sz w:val="24"/>
          <w:lang w:val="en-US"/>
        </w:rPr>
        <w:lastRenderedPageBreak/>
        <w:t>Returns</w:t>
      </w:r>
    </w:p>
    <w:p w14:paraId="625E343F" w14:textId="77777777" w:rsidR="00A90198" w:rsidRPr="00835938" w:rsidRDefault="00A90198" w:rsidP="0085455F">
      <w:pPr>
        <w:rPr>
          <w:sz w:val="2"/>
          <w:lang w:val="en-US"/>
        </w:rPr>
      </w:pPr>
    </w:p>
    <w:tbl>
      <w:tblPr>
        <w:tblStyle w:val="TableGrid"/>
        <w:tblW w:w="6118" w:type="pct"/>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10144"/>
        <w:gridCol w:w="166"/>
        <w:gridCol w:w="162"/>
        <w:gridCol w:w="275"/>
        <w:gridCol w:w="177"/>
        <w:gridCol w:w="176"/>
      </w:tblGrid>
      <w:tr w:rsidR="00964879" w:rsidRPr="00835938" w14:paraId="38E7E66E" w14:textId="77777777" w:rsidTr="00B37772">
        <w:tc>
          <w:tcPr>
            <w:tcW w:w="10144" w:type="dxa"/>
          </w:tcPr>
          <w:tbl>
            <w:tblPr>
              <w:tblStyle w:val="TableGrid"/>
              <w:tblW w:w="9177" w:type="dxa"/>
              <w:tblLayout w:type="fixed"/>
              <w:tblLook w:val="04A0" w:firstRow="1" w:lastRow="0" w:firstColumn="1" w:lastColumn="0" w:noHBand="0" w:noVBand="1"/>
            </w:tblPr>
            <w:tblGrid>
              <w:gridCol w:w="646"/>
              <w:gridCol w:w="646"/>
              <w:gridCol w:w="646"/>
              <w:gridCol w:w="646"/>
              <w:gridCol w:w="646"/>
              <w:gridCol w:w="646"/>
              <w:gridCol w:w="646"/>
              <w:gridCol w:w="646"/>
              <w:gridCol w:w="646"/>
              <w:gridCol w:w="646"/>
              <w:gridCol w:w="646"/>
              <w:gridCol w:w="646"/>
              <w:gridCol w:w="646"/>
              <w:gridCol w:w="779"/>
            </w:tblGrid>
            <w:tr w:rsidR="00835938" w:rsidRPr="00016181" w14:paraId="6FF45772" w14:textId="77777777" w:rsidTr="00F27529">
              <w:trPr>
                <w:trHeight w:val="227"/>
              </w:trPr>
              <w:tc>
                <w:tcPr>
                  <w:tcW w:w="646" w:type="dxa"/>
                  <w:shd w:val="clear" w:color="auto" w:fill="D9D9D9" w:themeFill="background1" w:themeFillShade="D9"/>
                  <w:vAlign w:val="center"/>
                </w:tcPr>
                <w:p w14:paraId="53074A13" w14:textId="77777777" w:rsidR="00835938" w:rsidRPr="001B1F78" w:rsidRDefault="00835938" w:rsidP="00835938">
                  <w:pPr>
                    <w:pStyle w:val="Heading1"/>
                    <w:spacing w:before="0"/>
                    <w:jc w:val="center"/>
                    <w:outlineLvl w:val="0"/>
                    <w:rPr>
                      <w:rFonts w:asciiTheme="minorHAnsi" w:hAnsiTheme="minorHAnsi"/>
                      <w:color w:val="auto"/>
                      <w:sz w:val="15"/>
                      <w:szCs w:val="15"/>
                      <w:lang w:val="en-US"/>
                    </w:rPr>
                  </w:pPr>
                </w:p>
              </w:tc>
              <w:tc>
                <w:tcPr>
                  <w:tcW w:w="646" w:type="dxa"/>
                  <w:shd w:val="clear" w:color="auto" w:fill="D9D9D9" w:themeFill="background1" w:themeFillShade="D9"/>
                  <w:vAlign w:val="center"/>
                </w:tcPr>
                <w:p w14:paraId="59B19809"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Jan</w:t>
                  </w:r>
                </w:p>
              </w:tc>
              <w:tc>
                <w:tcPr>
                  <w:tcW w:w="646" w:type="dxa"/>
                  <w:shd w:val="clear" w:color="auto" w:fill="D9D9D9" w:themeFill="background1" w:themeFillShade="D9"/>
                  <w:vAlign w:val="center"/>
                </w:tcPr>
                <w:p w14:paraId="0D228902"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Feb</w:t>
                  </w:r>
                </w:p>
              </w:tc>
              <w:tc>
                <w:tcPr>
                  <w:tcW w:w="646" w:type="dxa"/>
                  <w:shd w:val="clear" w:color="auto" w:fill="D9D9D9" w:themeFill="background1" w:themeFillShade="D9"/>
                  <w:vAlign w:val="center"/>
                </w:tcPr>
                <w:p w14:paraId="00EECF3F"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Mar</w:t>
                  </w:r>
                </w:p>
              </w:tc>
              <w:tc>
                <w:tcPr>
                  <w:tcW w:w="646" w:type="dxa"/>
                  <w:shd w:val="clear" w:color="auto" w:fill="D9D9D9" w:themeFill="background1" w:themeFillShade="D9"/>
                  <w:vAlign w:val="center"/>
                </w:tcPr>
                <w:p w14:paraId="64915C3B"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Apr</w:t>
                  </w:r>
                </w:p>
              </w:tc>
              <w:tc>
                <w:tcPr>
                  <w:tcW w:w="646" w:type="dxa"/>
                  <w:shd w:val="clear" w:color="auto" w:fill="D9D9D9" w:themeFill="background1" w:themeFillShade="D9"/>
                  <w:vAlign w:val="center"/>
                </w:tcPr>
                <w:p w14:paraId="378C340E"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May</w:t>
                  </w:r>
                </w:p>
              </w:tc>
              <w:tc>
                <w:tcPr>
                  <w:tcW w:w="646" w:type="dxa"/>
                  <w:shd w:val="clear" w:color="auto" w:fill="D9D9D9" w:themeFill="background1" w:themeFillShade="D9"/>
                  <w:vAlign w:val="center"/>
                </w:tcPr>
                <w:p w14:paraId="18B5BC41"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Jun</w:t>
                  </w:r>
                </w:p>
              </w:tc>
              <w:tc>
                <w:tcPr>
                  <w:tcW w:w="646" w:type="dxa"/>
                  <w:shd w:val="clear" w:color="auto" w:fill="D9D9D9" w:themeFill="background1" w:themeFillShade="D9"/>
                  <w:vAlign w:val="center"/>
                </w:tcPr>
                <w:p w14:paraId="0F03C1D0"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Jul</w:t>
                  </w:r>
                </w:p>
              </w:tc>
              <w:tc>
                <w:tcPr>
                  <w:tcW w:w="646" w:type="dxa"/>
                  <w:shd w:val="clear" w:color="auto" w:fill="D9D9D9" w:themeFill="background1" w:themeFillShade="D9"/>
                  <w:vAlign w:val="center"/>
                </w:tcPr>
                <w:p w14:paraId="1E2F04E2"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Aug</w:t>
                  </w:r>
                </w:p>
              </w:tc>
              <w:tc>
                <w:tcPr>
                  <w:tcW w:w="646" w:type="dxa"/>
                  <w:shd w:val="clear" w:color="auto" w:fill="D9D9D9" w:themeFill="background1" w:themeFillShade="D9"/>
                  <w:vAlign w:val="center"/>
                </w:tcPr>
                <w:p w14:paraId="0CDB0E0C"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Sep</w:t>
                  </w:r>
                </w:p>
              </w:tc>
              <w:tc>
                <w:tcPr>
                  <w:tcW w:w="646" w:type="dxa"/>
                  <w:shd w:val="clear" w:color="auto" w:fill="D9D9D9" w:themeFill="background1" w:themeFillShade="D9"/>
                  <w:vAlign w:val="center"/>
                </w:tcPr>
                <w:p w14:paraId="4AB6A1D3"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Oct</w:t>
                  </w:r>
                </w:p>
              </w:tc>
              <w:tc>
                <w:tcPr>
                  <w:tcW w:w="646" w:type="dxa"/>
                  <w:shd w:val="clear" w:color="auto" w:fill="D9D9D9" w:themeFill="background1" w:themeFillShade="D9"/>
                  <w:vAlign w:val="center"/>
                </w:tcPr>
                <w:p w14:paraId="5B6AEFB8"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Nov</w:t>
                  </w:r>
                </w:p>
              </w:tc>
              <w:tc>
                <w:tcPr>
                  <w:tcW w:w="646" w:type="dxa"/>
                  <w:shd w:val="clear" w:color="auto" w:fill="D9D9D9" w:themeFill="background1" w:themeFillShade="D9"/>
                  <w:vAlign w:val="center"/>
                </w:tcPr>
                <w:p w14:paraId="307B5E68"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Dec</w:t>
                  </w:r>
                </w:p>
              </w:tc>
              <w:tc>
                <w:tcPr>
                  <w:tcW w:w="779" w:type="dxa"/>
                  <w:shd w:val="clear" w:color="auto" w:fill="D9D9D9" w:themeFill="background1" w:themeFillShade="D9"/>
                  <w:vAlign w:val="center"/>
                </w:tcPr>
                <w:p w14:paraId="07E1793A"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YTD</w:t>
                  </w:r>
                </w:p>
              </w:tc>
            </w:tr>
            <w:tr w:rsidR="00835938" w:rsidRPr="00016181" w14:paraId="4D3563BB" w14:textId="77777777" w:rsidTr="00F27529">
              <w:trPr>
                <w:trHeight w:val="20"/>
              </w:trPr>
              <w:tc>
                <w:tcPr>
                  <w:tcW w:w="646" w:type="dxa"/>
                  <w:shd w:val="clear" w:color="auto" w:fill="D9D9D9" w:themeFill="background1" w:themeFillShade="D9"/>
                  <w:vAlign w:val="center"/>
                </w:tcPr>
                <w:p w14:paraId="0BCBA528" w14:textId="77777777" w:rsidR="00835938" w:rsidRPr="001B1F78" w:rsidRDefault="00835938" w:rsidP="00835938">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2014</w:t>
                  </w:r>
                </w:p>
              </w:tc>
              <w:tc>
                <w:tcPr>
                  <w:tcW w:w="646" w:type="dxa"/>
                  <w:vAlign w:val="center"/>
                </w:tcPr>
                <w:p w14:paraId="1E8BA302"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6DF95565"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114E0373"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78E6FAB6"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502D1133"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6BF9BFBF"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673DE3A4"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4C530217"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2783FB55"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0D4DB097"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4.62%</w:t>
                  </w:r>
                </w:p>
              </w:tc>
              <w:tc>
                <w:tcPr>
                  <w:tcW w:w="646" w:type="dxa"/>
                  <w:vAlign w:val="center"/>
                </w:tcPr>
                <w:p w14:paraId="787C59FB"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3.56%</w:t>
                  </w:r>
                </w:p>
              </w:tc>
              <w:tc>
                <w:tcPr>
                  <w:tcW w:w="646" w:type="dxa"/>
                  <w:vAlign w:val="center"/>
                </w:tcPr>
                <w:p w14:paraId="5594FD2D"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-2.36%</w:t>
                  </w:r>
                </w:p>
              </w:tc>
              <w:tc>
                <w:tcPr>
                  <w:tcW w:w="779" w:type="dxa"/>
                  <w:vAlign w:val="center"/>
                </w:tcPr>
                <w:p w14:paraId="4FC17F17" w14:textId="77777777" w:rsidR="00835938" w:rsidRPr="001B1F78" w:rsidRDefault="008E5A6A" w:rsidP="00835938">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5.79%</w:t>
                  </w:r>
                </w:p>
              </w:tc>
            </w:tr>
            <w:tr w:rsidR="00835938" w:rsidRPr="00016181" w14:paraId="0D289F3B" w14:textId="77777777" w:rsidTr="00F27529">
              <w:trPr>
                <w:trHeight w:val="20"/>
              </w:trPr>
              <w:tc>
                <w:tcPr>
                  <w:tcW w:w="646" w:type="dxa"/>
                  <w:shd w:val="clear" w:color="auto" w:fill="D9D9D9" w:themeFill="background1" w:themeFillShade="D9"/>
                  <w:vAlign w:val="center"/>
                </w:tcPr>
                <w:p w14:paraId="143FD6A0" w14:textId="77777777" w:rsidR="00835938" w:rsidRPr="001B1F78" w:rsidRDefault="00835938" w:rsidP="00835938">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2015</w:t>
                  </w:r>
                </w:p>
              </w:tc>
              <w:tc>
                <w:tcPr>
                  <w:tcW w:w="646" w:type="dxa"/>
                  <w:vAlign w:val="center"/>
                </w:tcPr>
                <w:p w14:paraId="70197BDC"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5.76%</w:t>
                  </w:r>
                </w:p>
              </w:tc>
              <w:tc>
                <w:tcPr>
                  <w:tcW w:w="646" w:type="dxa"/>
                  <w:vAlign w:val="center"/>
                </w:tcPr>
                <w:p w14:paraId="1CB1888E"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5.48%</w:t>
                  </w:r>
                </w:p>
              </w:tc>
              <w:tc>
                <w:tcPr>
                  <w:tcW w:w="646" w:type="dxa"/>
                  <w:vAlign w:val="center"/>
                </w:tcPr>
                <w:p w14:paraId="61D07D23"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2.51%</w:t>
                  </w:r>
                </w:p>
              </w:tc>
              <w:tc>
                <w:tcPr>
                  <w:tcW w:w="646" w:type="dxa"/>
                  <w:vAlign w:val="center"/>
                </w:tcPr>
                <w:p w14:paraId="165D817B"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-1.43%</w:t>
                  </w:r>
                </w:p>
              </w:tc>
              <w:tc>
                <w:tcPr>
                  <w:tcW w:w="646" w:type="dxa"/>
                  <w:vAlign w:val="center"/>
                </w:tcPr>
                <w:p w14:paraId="1C3D1664"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0.81%</w:t>
                  </w:r>
                </w:p>
              </w:tc>
              <w:tc>
                <w:tcPr>
                  <w:tcW w:w="646" w:type="dxa"/>
                  <w:vAlign w:val="center"/>
                </w:tcPr>
                <w:p w14:paraId="6E90B179"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-4.62%</w:t>
                  </w:r>
                </w:p>
              </w:tc>
              <w:tc>
                <w:tcPr>
                  <w:tcW w:w="646" w:type="dxa"/>
                  <w:vAlign w:val="center"/>
                </w:tcPr>
                <w:p w14:paraId="3FF5632C" w14:textId="77777777" w:rsidR="00835938" w:rsidRPr="001B1F78" w:rsidRDefault="002722B0"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4.32%</w:t>
                  </w:r>
                </w:p>
              </w:tc>
              <w:tc>
                <w:tcPr>
                  <w:tcW w:w="646" w:type="dxa"/>
                  <w:vAlign w:val="center"/>
                </w:tcPr>
                <w:p w14:paraId="43EA5E55" w14:textId="77777777" w:rsidR="00835938" w:rsidRPr="001B1F78" w:rsidRDefault="000C4616"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-6.23</w:t>
                  </w:r>
                  <w:r w:rsidR="00CD682A">
                    <w:rPr>
                      <w:rFonts w:asciiTheme="minorHAnsi" w:hAnsiTheme="minorHAnsi"/>
                      <w:b w:val="0"/>
                      <w:color w:val="auto"/>
                      <w:sz w:val="15"/>
                      <w:szCs w:val="15"/>
                      <w:lang w:val="en-US"/>
                    </w:rPr>
                    <w:t>%</w:t>
                  </w:r>
                </w:p>
              </w:tc>
              <w:tc>
                <w:tcPr>
                  <w:tcW w:w="646" w:type="dxa"/>
                  <w:vAlign w:val="center"/>
                </w:tcPr>
                <w:p w14:paraId="1131CA6F" w14:textId="77777777" w:rsidR="00835938" w:rsidRPr="001B1F78" w:rsidRDefault="00E70C0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-3.23</w:t>
                  </w:r>
                  <w:r w:rsidR="00CD682A">
                    <w:rPr>
                      <w:rFonts w:asciiTheme="minorHAnsi" w:hAnsiTheme="minorHAnsi"/>
                      <w:b w:val="0"/>
                      <w:color w:val="auto"/>
                      <w:sz w:val="15"/>
                      <w:szCs w:val="15"/>
                      <w:lang w:val="en-US"/>
                    </w:rPr>
                    <w:t>%</w:t>
                  </w:r>
                </w:p>
              </w:tc>
              <w:tc>
                <w:tcPr>
                  <w:tcW w:w="646" w:type="dxa"/>
                  <w:vAlign w:val="center"/>
                </w:tcPr>
                <w:p w14:paraId="3E2FB8D9" w14:textId="77777777" w:rsidR="00835938" w:rsidRPr="001B1F78" w:rsidRDefault="000C7AF6"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6.70%</w:t>
                  </w:r>
                </w:p>
              </w:tc>
              <w:tc>
                <w:tcPr>
                  <w:tcW w:w="646" w:type="dxa"/>
                  <w:vAlign w:val="center"/>
                </w:tcPr>
                <w:p w14:paraId="47D34355" w14:textId="77777777" w:rsidR="00835938" w:rsidRPr="001B1F78" w:rsidRDefault="00FE4A17"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3.93%</w:t>
                  </w:r>
                </w:p>
              </w:tc>
              <w:tc>
                <w:tcPr>
                  <w:tcW w:w="646" w:type="dxa"/>
                  <w:vAlign w:val="center"/>
                </w:tcPr>
                <w:p w14:paraId="0ECB004E" w14:textId="77777777" w:rsidR="00835938" w:rsidRPr="001B1F78" w:rsidRDefault="002C0B0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-3.49</w:t>
                  </w:r>
                  <w:r w:rsidR="00187215">
                    <w:rPr>
                      <w:rFonts w:asciiTheme="minorHAnsi" w:hAnsiTheme="minorHAnsi"/>
                      <w:b w:val="0"/>
                      <w:color w:val="auto"/>
                      <w:sz w:val="15"/>
                      <w:szCs w:val="15"/>
                      <w:lang w:val="en-US"/>
                    </w:rPr>
                    <w:t>%</w:t>
                  </w:r>
                </w:p>
              </w:tc>
              <w:tc>
                <w:tcPr>
                  <w:tcW w:w="779" w:type="dxa"/>
                  <w:vAlign w:val="center"/>
                </w:tcPr>
                <w:p w14:paraId="1CD75D72" w14:textId="77777777" w:rsidR="00835938" w:rsidRPr="001B1F78" w:rsidRDefault="002C0B05"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9.85</w:t>
                  </w:r>
                  <w:r w:rsidR="008E5A6A" w:rsidRPr="001B1F78">
                    <w:rPr>
                      <w:rFonts w:asciiTheme="minorHAnsi" w:hAnsiTheme="minorHAnsi"/>
                      <w:color w:val="auto"/>
                      <w:sz w:val="15"/>
                      <w:szCs w:val="15"/>
                      <w:lang w:val="en-US"/>
                    </w:rPr>
                    <w:t>%</w:t>
                  </w:r>
                </w:p>
              </w:tc>
            </w:tr>
            <w:tr w:rsidR="005C407A" w:rsidRPr="00016181" w14:paraId="21F2B732" w14:textId="77777777" w:rsidTr="00F27529">
              <w:trPr>
                <w:trHeight w:val="20"/>
              </w:trPr>
              <w:tc>
                <w:tcPr>
                  <w:tcW w:w="646" w:type="dxa"/>
                  <w:shd w:val="clear" w:color="auto" w:fill="D9D9D9" w:themeFill="background1" w:themeFillShade="D9"/>
                  <w:vAlign w:val="center"/>
                </w:tcPr>
                <w:p w14:paraId="6A71527A" w14:textId="77777777" w:rsidR="005C407A" w:rsidRPr="001B1F78" w:rsidRDefault="005C407A"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2016</w:t>
                  </w:r>
                </w:p>
              </w:tc>
              <w:tc>
                <w:tcPr>
                  <w:tcW w:w="646" w:type="dxa"/>
                  <w:vAlign w:val="center"/>
                </w:tcPr>
                <w:p w14:paraId="18760D6E" w14:textId="77777777" w:rsidR="005C407A" w:rsidRPr="001B1F78" w:rsidRDefault="005C407A" w:rsidP="005C407A">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-4.37%</w:t>
                  </w:r>
                </w:p>
              </w:tc>
              <w:tc>
                <w:tcPr>
                  <w:tcW w:w="646" w:type="dxa"/>
                  <w:vAlign w:val="center"/>
                </w:tcPr>
                <w:p w14:paraId="03EDF926" w14:textId="77777777" w:rsidR="005C407A" w:rsidRPr="001B1F78" w:rsidRDefault="005C407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-5.35%</w:t>
                  </w:r>
                </w:p>
              </w:tc>
              <w:tc>
                <w:tcPr>
                  <w:tcW w:w="646" w:type="dxa"/>
                  <w:vAlign w:val="center"/>
                </w:tcPr>
                <w:p w14:paraId="5B7BE585" w14:textId="77777777" w:rsidR="005C407A" w:rsidRPr="001B1F78" w:rsidRDefault="00584C2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0.26%</w:t>
                  </w:r>
                </w:p>
              </w:tc>
              <w:tc>
                <w:tcPr>
                  <w:tcW w:w="646" w:type="dxa"/>
                  <w:vAlign w:val="center"/>
                </w:tcPr>
                <w:p w14:paraId="3B20FA6E" w14:textId="77777777" w:rsidR="005C407A" w:rsidRPr="001B1F78" w:rsidRDefault="000E68BE"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0.54%</w:t>
                  </w:r>
                </w:p>
              </w:tc>
              <w:tc>
                <w:tcPr>
                  <w:tcW w:w="646" w:type="dxa"/>
                  <w:vAlign w:val="center"/>
                </w:tcPr>
                <w:p w14:paraId="7B342300" w14:textId="77777777" w:rsidR="005C407A" w:rsidRPr="001B1F78" w:rsidRDefault="0057476E"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3.75%</w:t>
                  </w:r>
                </w:p>
              </w:tc>
              <w:tc>
                <w:tcPr>
                  <w:tcW w:w="646" w:type="dxa"/>
                  <w:vAlign w:val="center"/>
                </w:tcPr>
                <w:p w14:paraId="1A2FBD6D" w14:textId="77777777" w:rsidR="005C407A" w:rsidRPr="001B1F78" w:rsidRDefault="00032463"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-5.06%</w:t>
                  </w:r>
                </w:p>
              </w:tc>
              <w:tc>
                <w:tcPr>
                  <w:tcW w:w="646" w:type="dxa"/>
                  <w:vAlign w:val="center"/>
                </w:tcPr>
                <w:p w14:paraId="3482ACFB" w14:textId="77777777" w:rsidR="005C407A" w:rsidRDefault="00B631CF"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4.45%</w:t>
                  </w:r>
                </w:p>
              </w:tc>
              <w:tc>
                <w:tcPr>
                  <w:tcW w:w="646" w:type="dxa"/>
                  <w:vAlign w:val="center"/>
                </w:tcPr>
                <w:p w14:paraId="1432DD5F" w14:textId="77777777" w:rsidR="005C407A" w:rsidRDefault="002964CD"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0.02%</w:t>
                  </w:r>
                </w:p>
              </w:tc>
              <w:tc>
                <w:tcPr>
                  <w:tcW w:w="646" w:type="dxa"/>
                  <w:vAlign w:val="center"/>
                </w:tcPr>
                <w:p w14:paraId="7E634439" w14:textId="77777777" w:rsidR="005C407A" w:rsidRDefault="00146EDB"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0.66%</w:t>
                  </w:r>
                </w:p>
              </w:tc>
              <w:tc>
                <w:tcPr>
                  <w:tcW w:w="646" w:type="dxa"/>
                  <w:vAlign w:val="center"/>
                </w:tcPr>
                <w:p w14:paraId="413D402F" w14:textId="77777777" w:rsidR="005C407A" w:rsidRDefault="008164B4"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-1.58%</w:t>
                  </w:r>
                </w:p>
              </w:tc>
              <w:tc>
                <w:tcPr>
                  <w:tcW w:w="646" w:type="dxa"/>
                  <w:vAlign w:val="center"/>
                </w:tcPr>
                <w:p w14:paraId="65D4201E" w14:textId="77777777" w:rsidR="005C407A" w:rsidRDefault="00FE13BC"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-0.63</w:t>
                  </w:r>
                </w:p>
              </w:tc>
              <w:tc>
                <w:tcPr>
                  <w:tcW w:w="646" w:type="dxa"/>
                  <w:vAlign w:val="center"/>
                </w:tcPr>
                <w:p w14:paraId="15E0FEF6" w14:textId="77777777" w:rsidR="005C407A" w:rsidRDefault="008C1C24"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5.57%</w:t>
                  </w:r>
                </w:p>
              </w:tc>
              <w:tc>
                <w:tcPr>
                  <w:tcW w:w="779" w:type="dxa"/>
                  <w:vAlign w:val="center"/>
                </w:tcPr>
                <w:p w14:paraId="73A1D198" w14:textId="77777777" w:rsidR="005C407A" w:rsidRDefault="008C1C24" w:rsidP="00FE13BC">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-2.00</w:t>
                  </w:r>
                  <w:r w:rsidR="00032463">
                    <w:rPr>
                      <w:rFonts w:asciiTheme="minorHAnsi" w:hAnsiTheme="minorHAnsi"/>
                      <w:color w:val="auto"/>
                      <w:sz w:val="15"/>
                      <w:szCs w:val="15"/>
                      <w:lang w:val="en-US"/>
                    </w:rPr>
                    <w:t>%</w:t>
                  </w:r>
                </w:p>
              </w:tc>
            </w:tr>
            <w:tr w:rsidR="005A2D05" w:rsidRPr="00016181" w14:paraId="3AC6E5A7" w14:textId="77777777" w:rsidTr="00F27529">
              <w:trPr>
                <w:trHeight w:val="20"/>
              </w:trPr>
              <w:tc>
                <w:tcPr>
                  <w:tcW w:w="646" w:type="dxa"/>
                  <w:shd w:val="clear" w:color="auto" w:fill="D9D9D9" w:themeFill="background1" w:themeFillShade="D9"/>
                  <w:vAlign w:val="center"/>
                </w:tcPr>
                <w:p w14:paraId="776AC01E" w14:textId="77777777" w:rsidR="005A2D05" w:rsidRDefault="005A2D05"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2017</w:t>
                  </w:r>
                </w:p>
              </w:tc>
              <w:tc>
                <w:tcPr>
                  <w:tcW w:w="646" w:type="dxa"/>
                  <w:vAlign w:val="center"/>
                </w:tcPr>
                <w:p w14:paraId="55593FA0" w14:textId="77777777" w:rsidR="005A2D05" w:rsidRDefault="005A2D05" w:rsidP="005C407A">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-1.25%</w:t>
                  </w:r>
                </w:p>
              </w:tc>
              <w:tc>
                <w:tcPr>
                  <w:tcW w:w="646" w:type="dxa"/>
                  <w:vAlign w:val="center"/>
                </w:tcPr>
                <w:p w14:paraId="5BEAB95C" w14:textId="77777777" w:rsidR="005A2D05" w:rsidRDefault="009412EE"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3.77%</w:t>
                  </w:r>
                </w:p>
              </w:tc>
              <w:tc>
                <w:tcPr>
                  <w:tcW w:w="646" w:type="dxa"/>
                  <w:vAlign w:val="center"/>
                </w:tcPr>
                <w:p w14:paraId="56D5EF43" w14:textId="77777777" w:rsidR="005A2D05" w:rsidRDefault="00DF1139"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4.26%</w:t>
                  </w:r>
                </w:p>
              </w:tc>
              <w:tc>
                <w:tcPr>
                  <w:tcW w:w="646" w:type="dxa"/>
                  <w:vAlign w:val="center"/>
                </w:tcPr>
                <w:p w14:paraId="6848CC4E" w14:textId="77777777" w:rsidR="005A2D05" w:rsidRDefault="007E46D7"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1.98%</w:t>
                  </w:r>
                </w:p>
              </w:tc>
              <w:tc>
                <w:tcPr>
                  <w:tcW w:w="646" w:type="dxa"/>
                  <w:vAlign w:val="center"/>
                </w:tcPr>
                <w:p w14:paraId="4BD2CCEA" w14:textId="77777777" w:rsidR="005A2D05" w:rsidRDefault="004D460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1.27%</w:t>
                  </w:r>
                </w:p>
              </w:tc>
              <w:tc>
                <w:tcPr>
                  <w:tcW w:w="646" w:type="dxa"/>
                  <w:vAlign w:val="center"/>
                </w:tcPr>
                <w:p w14:paraId="710BFB28" w14:textId="77777777" w:rsidR="005A2D05" w:rsidRDefault="00F279F8"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-1.45%</w:t>
                  </w:r>
                </w:p>
              </w:tc>
              <w:tc>
                <w:tcPr>
                  <w:tcW w:w="646" w:type="dxa"/>
                  <w:vAlign w:val="center"/>
                </w:tcPr>
                <w:p w14:paraId="73AF18AD" w14:textId="77777777" w:rsidR="005A2D05" w:rsidRDefault="00555AD4"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-0.04%</w:t>
                  </w:r>
                </w:p>
              </w:tc>
              <w:tc>
                <w:tcPr>
                  <w:tcW w:w="646" w:type="dxa"/>
                  <w:vAlign w:val="center"/>
                </w:tcPr>
                <w:p w14:paraId="1F529B76" w14:textId="77777777" w:rsidR="005A2D05" w:rsidRDefault="00521A6F"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-0.27%</w:t>
                  </w:r>
                </w:p>
              </w:tc>
              <w:tc>
                <w:tcPr>
                  <w:tcW w:w="646" w:type="dxa"/>
                  <w:vAlign w:val="center"/>
                </w:tcPr>
                <w:p w14:paraId="3F22C606" w14:textId="77777777" w:rsidR="005A2D05" w:rsidRDefault="00B37772"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1.62%</w:t>
                  </w:r>
                </w:p>
              </w:tc>
              <w:tc>
                <w:tcPr>
                  <w:tcW w:w="646" w:type="dxa"/>
                  <w:vAlign w:val="center"/>
                </w:tcPr>
                <w:p w14:paraId="3413AAF3" w14:textId="77777777" w:rsidR="005A2D05" w:rsidRDefault="007B5113"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1.62%</w:t>
                  </w:r>
                </w:p>
              </w:tc>
              <w:tc>
                <w:tcPr>
                  <w:tcW w:w="646" w:type="dxa"/>
                  <w:vAlign w:val="center"/>
                </w:tcPr>
                <w:p w14:paraId="7191ECCA" w14:textId="77777777" w:rsidR="005A2D05" w:rsidRDefault="007E60A2"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-2.31%</w:t>
                  </w:r>
                </w:p>
              </w:tc>
              <w:tc>
                <w:tcPr>
                  <w:tcW w:w="646" w:type="dxa"/>
                  <w:vAlign w:val="center"/>
                </w:tcPr>
                <w:p w14:paraId="0635EA49" w14:textId="77777777" w:rsidR="005A2D05" w:rsidRDefault="00B90362"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-0.65%</w:t>
                  </w:r>
                </w:p>
              </w:tc>
              <w:tc>
                <w:tcPr>
                  <w:tcW w:w="779" w:type="dxa"/>
                  <w:vAlign w:val="center"/>
                </w:tcPr>
                <w:p w14:paraId="5D69B162" w14:textId="77777777" w:rsidR="005A2D05" w:rsidRDefault="00B90362" w:rsidP="00521A6F">
                  <w:pPr>
                    <w:pStyle w:val="Heading1"/>
                    <w:spacing w:before="0"/>
                    <w:ind w:left="1416" w:hanging="1416"/>
                    <w:jc w:val="center"/>
                    <w:outlineLvl w:val="0"/>
                    <w:rPr>
                      <w:rFonts w:asciiTheme="minorHAnsi" w:hAnsiTheme="minorHAnsi"/>
                      <w:color w:val="auto"/>
                      <w:sz w:val="15"/>
                      <w:szCs w:val="15"/>
                      <w:lang w:val="en-US"/>
                    </w:rPr>
                  </w:pPr>
                  <w:r>
                    <w:rPr>
                      <w:rFonts w:asciiTheme="minorHAnsi" w:hAnsiTheme="minorHAnsi"/>
                      <w:color w:val="auto"/>
                      <w:sz w:val="15"/>
                      <w:szCs w:val="15"/>
                      <w:lang w:val="en-US"/>
                    </w:rPr>
                    <w:t>8.40%</w:t>
                  </w:r>
                </w:p>
              </w:tc>
            </w:tr>
            <w:tr w:rsidR="009A3347" w:rsidRPr="00016181" w14:paraId="36B53D39" w14:textId="77777777" w:rsidTr="00F27529">
              <w:trPr>
                <w:trHeight w:val="20"/>
              </w:trPr>
              <w:tc>
                <w:tcPr>
                  <w:tcW w:w="646" w:type="dxa"/>
                  <w:shd w:val="clear" w:color="auto" w:fill="D9D9D9" w:themeFill="background1" w:themeFillShade="D9"/>
                  <w:vAlign w:val="center"/>
                </w:tcPr>
                <w:p w14:paraId="7B650477" w14:textId="77777777" w:rsidR="009A3347" w:rsidRDefault="009A3347"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2018</w:t>
                  </w:r>
                </w:p>
              </w:tc>
              <w:tc>
                <w:tcPr>
                  <w:tcW w:w="646" w:type="dxa"/>
                  <w:vAlign w:val="center"/>
                </w:tcPr>
                <w:p w14:paraId="6D695066" w14:textId="77777777" w:rsidR="009A3347" w:rsidRDefault="009A3347" w:rsidP="005C407A">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2.61%</w:t>
                  </w:r>
                </w:p>
              </w:tc>
              <w:tc>
                <w:tcPr>
                  <w:tcW w:w="646" w:type="dxa"/>
                  <w:vAlign w:val="center"/>
                </w:tcPr>
                <w:p w14:paraId="7C3E4CF7" w14:textId="77777777" w:rsidR="009A3347" w:rsidRDefault="00423AE4"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-3.34%</w:t>
                  </w:r>
                </w:p>
              </w:tc>
              <w:tc>
                <w:tcPr>
                  <w:tcW w:w="646" w:type="dxa"/>
                  <w:vAlign w:val="center"/>
                </w:tcPr>
                <w:p w14:paraId="7D1B9FEE" w14:textId="77777777" w:rsidR="009A3347" w:rsidRDefault="00394CD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-2.36%</w:t>
                  </w:r>
                </w:p>
              </w:tc>
              <w:tc>
                <w:tcPr>
                  <w:tcW w:w="646" w:type="dxa"/>
                  <w:vAlign w:val="center"/>
                </w:tcPr>
                <w:p w14:paraId="27D36593" w14:textId="77777777" w:rsidR="009A3347" w:rsidRDefault="00884E44"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4.38%</w:t>
                  </w:r>
                </w:p>
              </w:tc>
              <w:tc>
                <w:tcPr>
                  <w:tcW w:w="646" w:type="dxa"/>
                  <w:vAlign w:val="center"/>
                </w:tcPr>
                <w:p w14:paraId="73EC7278" w14:textId="77777777" w:rsidR="009A3347" w:rsidRDefault="00D210A1"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0.90%</w:t>
                  </w:r>
                </w:p>
              </w:tc>
              <w:tc>
                <w:tcPr>
                  <w:tcW w:w="646" w:type="dxa"/>
                  <w:vAlign w:val="center"/>
                </w:tcPr>
                <w:p w14:paraId="50F05D07" w14:textId="77777777" w:rsidR="009A3347" w:rsidRDefault="00CF510E"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-1.26%</w:t>
                  </w:r>
                </w:p>
              </w:tc>
              <w:tc>
                <w:tcPr>
                  <w:tcW w:w="646" w:type="dxa"/>
                  <w:vAlign w:val="center"/>
                </w:tcPr>
                <w:p w14:paraId="302DC410" w14:textId="77777777" w:rsidR="009A3347" w:rsidRDefault="00034B08"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2.68%</w:t>
                  </w:r>
                </w:p>
              </w:tc>
              <w:tc>
                <w:tcPr>
                  <w:tcW w:w="646" w:type="dxa"/>
                  <w:vAlign w:val="center"/>
                </w:tcPr>
                <w:p w14:paraId="66C77094" w14:textId="77777777" w:rsidR="009A3347" w:rsidRDefault="00786934"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-1.91%</w:t>
                  </w:r>
                </w:p>
              </w:tc>
              <w:tc>
                <w:tcPr>
                  <w:tcW w:w="646" w:type="dxa"/>
                  <w:vAlign w:val="center"/>
                </w:tcPr>
                <w:p w14:paraId="0C36C4A5" w14:textId="77777777" w:rsidR="009A3347" w:rsidRDefault="00E50BD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-1.10%</w:t>
                  </w:r>
                </w:p>
              </w:tc>
              <w:tc>
                <w:tcPr>
                  <w:tcW w:w="646" w:type="dxa"/>
                  <w:vAlign w:val="center"/>
                </w:tcPr>
                <w:p w14:paraId="2C22B07B" w14:textId="77777777" w:rsidR="009A3347" w:rsidRDefault="00794660"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-7.80</w:t>
                  </w:r>
                </w:p>
              </w:tc>
              <w:tc>
                <w:tcPr>
                  <w:tcW w:w="646" w:type="dxa"/>
                  <w:vAlign w:val="center"/>
                </w:tcPr>
                <w:p w14:paraId="49D91D8C" w14:textId="77777777" w:rsidR="009A3347" w:rsidRDefault="001F423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-2.50%</w:t>
                  </w:r>
                </w:p>
              </w:tc>
              <w:tc>
                <w:tcPr>
                  <w:tcW w:w="646" w:type="dxa"/>
                  <w:vAlign w:val="center"/>
                </w:tcPr>
                <w:p w14:paraId="294F6CE9" w14:textId="77777777" w:rsidR="009A3347" w:rsidRDefault="00F27529"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-5.64%</w:t>
                  </w:r>
                </w:p>
              </w:tc>
              <w:tc>
                <w:tcPr>
                  <w:tcW w:w="779" w:type="dxa"/>
                  <w:vAlign w:val="center"/>
                </w:tcPr>
                <w:p w14:paraId="6711F372" w14:textId="77777777" w:rsidR="009A3347" w:rsidRDefault="001F4235" w:rsidP="00F27529">
                  <w:pPr>
                    <w:pStyle w:val="Heading1"/>
                    <w:spacing w:before="0"/>
                    <w:ind w:left="1416" w:hanging="1416"/>
                    <w:jc w:val="center"/>
                    <w:outlineLvl w:val="0"/>
                    <w:rPr>
                      <w:rFonts w:asciiTheme="minorHAnsi" w:hAnsiTheme="minorHAnsi"/>
                      <w:color w:val="auto"/>
                      <w:sz w:val="15"/>
                      <w:szCs w:val="15"/>
                      <w:lang w:val="en-US"/>
                    </w:rPr>
                  </w:pPr>
                  <w:r>
                    <w:rPr>
                      <w:rFonts w:asciiTheme="minorHAnsi" w:hAnsiTheme="minorHAnsi"/>
                      <w:color w:val="auto"/>
                      <w:sz w:val="15"/>
                      <w:szCs w:val="15"/>
                      <w:lang w:val="en-US"/>
                    </w:rPr>
                    <w:t>-</w:t>
                  </w:r>
                  <w:r w:rsidR="00F27529">
                    <w:rPr>
                      <w:rFonts w:asciiTheme="minorHAnsi" w:hAnsiTheme="minorHAnsi"/>
                      <w:color w:val="auto"/>
                      <w:sz w:val="15"/>
                      <w:szCs w:val="15"/>
                      <w:lang w:val="en-US"/>
                    </w:rPr>
                    <w:t>14.90%</w:t>
                  </w:r>
                </w:p>
              </w:tc>
            </w:tr>
            <w:tr w:rsidR="00B97ADE" w:rsidRPr="00016181" w14:paraId="022FEB40" w14:textId="77777777" w:rsidTr="00F27529">
              <w:trPr>
                <w:trHeight w:val="20"/>
              </w:trPr>
              <w:tc>
                <w:tcPr>
                  <w:tcW w:w="646" w:type="dxa"/>
                  <w:shd w:val="clear" w:color="auto" w:fill="D9D9D9" w:themeFill="background1" w:themeFillShade="D9"/>
                  <w:vAlign w:val="center"/>
                </w:tcPr>
                <w:p w14:paraId="61FA8142" w14:textId="77777777" w:rsidR="00B97ADE" w:rsidRDefault="00B97ADE"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2019</w:t>
                  </w:r>
                </w:p>
              </w:tc>
              <w:tc>
                <w:tcPr>
                  <w:tcW w:w="646" w:type="dxa"/>
                  <w:vAlign w:val="center"/>
                </w:tcPr>
                <w:p w14:paraId="623D9ABD" w14:textId="77777777" w:rsidR="00B97ADE" w:rsidRDefault="00B97ADE" w:rsidP="005C407A">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5.57%</w:t>
                  </w:r>
                </w:p>
              </w:tc>
              <w:tc>
                <w:tcPr>
                  <w:tcW w:w="646" w:type="dxa"/>
                  <w:vAlign w:val="center"/>
                </w:tcPr>
                <w:p w14:paraId="706635B9" w14:textId="77777777" w:rsidR="00B97ADE" w:rsidRDefault="00F80068"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4.01%</w:t>
                  </w:r>
                </w:p>
              </w:tc>
              <w:tc>
                <w:tcPr>
                  <w:tcW w:w="646" w:type="dxa"/>
                  <w:vAlign w:val="center"/>
                </w:tcPr>
                <w:p w14:paraId="1C27FE15" w14:textId="56B4C33D" w:rsidR="00B97ADE" w:rsidRDefault="00CB349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1.00%</w:t>
                  </w:r>
                </w:p>
              </w:tc>
              <w:tc>
                <w:tcPr>
                  <w:tcW w:w="646" w:type="dxa"/>
                  <w:vAlign w:val="center"/>
                </w:tcPr>
                <w:p w14:paraId="454B397B" w14:textId="0A1F5924" w:rsidR="00B97ADE" w:rsidRDefault="006B7967"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3.69%</w:t>
                  </w:r>
                </w:p>
              </w:tc>
              <w:tc>
                <w:tcPr>
                  <w:tcW w:w="646" w:type="dxa"/>
                  <w:vAlign w:val="center"/>
                </w:tcPr>
                <w:p w14:paraId="71E8F2F4" w14:textId="73541858" w:rsidR="00B97ADE" w:rsidRDefault="007236AE"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-4.25%</w:t>
                  </w:r>
                </w:p>
              </w:tc>
              <w:tc>
                <w:tcPr>
                  <w:tcW w:w="646" w:type="dxa"/>
                  <w:vAlign w:val="center"/>
                </w:tcPr>
                <w:p w14:paraId="10BD8197" w14:textId="052592E3" w:rsidR="00B97ADE" w:rsidRDefault="00FD1F8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3.18%</w:t>
                  </w:r>
                </w:p>
              </w:tc>
              <w:tc>
                <w:tcPr>
                  <w:tcW w:w="646" w:type="dxa"/>
                  <w:vAlign w:val="center"/>
                </w:tcPr>
                <w:p w14:paraId="51213693" w14:textId="0138B7D5" w:rsidR="00B97ADE" w:rsidRDefault="00123B0B"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0.00%</w:t>
                  </w:r>
                </w:p>
              </w:tc>
              <w:tc>
                <w:tcPr>
                  <w:tcW w:w="646" w:type="dxa"/>
                  <w:vAlign w:val="center"/>
                </w:tcPr>
                <w:p w14:paraId="02379281" w14:textId="3E2AC12B" w:rsidR="00B97ADE" w:rsidRDefault="000916D9"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-0.81%</w:t>
                  </w:r>
                </w:p>
              </w:tc>
              <w:tc>
                <w:tcPr>
                  <w:tcW w:w="646" w:type="dxa"/>
                  <w:vAlign w:val="center"/>
                </w:tcPr>
                <w:p w14:paraId="28FBFDF6" w14:textId="16AF5A18" w:rsidR="00B97ADE" w:rsidRDefault="00FB3AB6"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1.61%</w:t>
                  </w:r>
                </w:p>
              </w:tc>
              <w:tc>
                <w:tcPr>
                  <w:tcW w:w="646" w:type="dxa"/>
                  <w:vAlign w:val="center"/>
                </w:tcPr>
                <w:p w14:paraId="664A8874" w14:textId="06E24F8B" w:rsidR="00B97ADE" w:rsidRDefault="008773D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-1.57%</w:t>
                  </w:r>
                </w:p>
              </w:tc>
              <w:tc>
                <w:tcPr>
                  <w:tcW w:w="646" w:type="dxa"/>
                  <w:vAlign w:val="center"/>
                </w:tcPr>
                <w:p w14:paraId="5461C2ED" w14:textId="33122EE9" w:rsidR="00B97ADE" w:rsidRDefault="008773D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0.00%</w:t>
                  </w:r>
                </w:p>
              </w:tc>
              <w:tc>
                <w:tcPr>
                  <w:tcW w:w="646" w:type="dxa"/>
                  <w:vAlign w:val="center"/>
                </w:tcPr>
                <w:p w14:paraId="457FD072" w14:textId="47D779D1" w:rsidR="00B97ADE" w:rsidRDefault="008773D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0.09%</w:t>
                  </w:r>
                </w:p>
              </w:tc>
              <w:tc>
                <w:tcPr>
                  <w:tcW w:w="779" w:type="dxa"/>
                  <w:vAlign w:val="center"/>
                </w:tcPr>
                <w:p w14:paraId="536C70CB" w14:textId="3E06CAF3" w:rsidR="00B97ADE" w:rsidRDefault="00FB3AB6" w:rsidP="00F27529">
                  <w:pPr>
                    <w:pStyle w:val="Heading1"/>
                    <w:spacing w:before="0"/>
                    <w:ind w:left="1416" w:hanging="1416"/>
                    <w:jc w:val="center"/>
                    <w:outlineLvl w:val="0"/>
                    <w:rPr>
                      <w:rFonts w:asciiTheme="minorHAnsi" w:hAnsiTheme="minorHAnsi"/>
                      <w:color w:val="auto"/>
                      <w:sz w:val="15"/>
                      <w:szCs w:val="15"/>
                      <w:lang w:val="en-US"/>
                    </w:rPr>
                  </w:pPr>
                  <w:r>
                    <w:rPr>
                      <w:rFonts w:asciiTheme="minorHAnsi" w:hAnsiTheme="minorHAnsi"/>
                      <w:color w:val="auto"/>
                      <w:sz w:val="15"/>
                      <w:szCs w:val="15"/>
                      <w:lang w:val="en-US"/>
                    </w:rPr>
                    <w:t>14.50%</w:t>
                  </w:r>
                </w:p>
              </w:tc>
            </w:tr>
            <w:tr w:rsidR="00334DAD" w:rsidRPr="00016181" w14:paraId="626810A3" w14:textId="77777777" w:rsidTr="00F27529">
              <w:trPr>
                <w:trHeight w:val="20"/>
              </w:trPr>
              <w:tc>
                <w:tcPr>
                  <w:tcW w:w="646" w:type="dxa"/>
                  <w:shd w:val="clear" w:color="auto" w:fill="D9D9D9" w:themeFill="background1" w:themeFillShade="D9"/>
                  <w:vAlign w:val="center"/>
                </w:tcPr>
                <w:p w14:paraId="61EAC482" w14:textId="423C326B" w:rsidR="00334DAD" w:rsidRDefault="00A14E8B"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2020</w:t>
                  </w:r>
                </w:p>
              </w:tc>
              <w:tc>
                <w:tcPr>
                  <w:tcW w:w="646" w:type="dxa"/>
                  <w:vAlign w:val="center"/>
                </w:tcPr>
                <w:p w14:paraId="0681956F" w14:textId="35A64B46" w:rsidR="00334DAD" w:rsidRDefault="00A14E8B" w:rsidP="005C407A">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-1.77%</w:t>
                  </w:r>
                </w:p>
              </w:tc>
              <w:tc>
                <w:tcPr>
                  <w:tcW w:w="646" w:type="dxa"/>
                  <w:vAlign w:val="center"/>
                </w:tcPr>
                <w:p w14:paraId="344E6D83" w14:textId="05FBA546" w:rsidR="00334DAD" w:rsidRDefault="00737F08" w:rsidP="006D2AFC">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w:t>
                  </w:r>
                  <w:r w:rsidR="006D2AFC">
                    <w:rPr>
                      <w:rFonts w:asciiTheme="minorHAnsi" w:hAnsiTheme="minorHAnsi"/>
                      <w:b w:val="0"/>
                      <w:color w:val="auto"/>
                      <w:sz w:val="15"/>
                      <w:szCs w:val="15"/>
                      <w:lang w:val="en-US"/>
                    </w:rPr>
                    <w:t>6.11</w:t>
                  </w:r>
                  <w:r>
                    <w:rPr>
                      <w:rFonts w:asciiTheme="minorHAnsi" w:hAnsiTheme="minorHAnsi"/>
                      <w:b w:val="0"/>
                      <w:color w:val="auto"/>
                      <w:sz w:val="15"/>
                      <w:szCs w:val="15"/>
                      <w:lang w:val="en-US"/>
                    </w:rPr>
                    <w:t>%</w:t>
                  </w:r>
                </w:p>
              </w:tc>
              <w:tc>
                <w:tcPr>
                  <w:tcW w:w="646" w:type="dxa"/>
                  <w:vAlign w:val="center"/>
                </w:tcPr>
                <w:p w14:paraId="3FCBF82E" w14:textId="4A31259A" w:rsidR="00334DAD" w:rsidRDefault="0045045C" w:rsidP="0045045C">
                  <w:pPr>
                    <w:pStyle w:val="Heading1"/>
                    <w:spacing w:before="0"/>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-11.8%</w:t>
                  </w:r>
                </w:p>
              </w:tc>
              <w:tc>
                <w:tcPr>
                  <w:tcW w:w="646" w:type="dxa"/>
                  <w:vAlign w:val="center"/>
                </w:tcPr>
                <w:p w14:paraId="0EFCE264" w14:textId="135AC025" w:rsidR="00334DAD" w:rsidRDefault="005C51E7"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5.32%</w:t>
                  </w:r>
                </w:p>
              </w:tc>
              <w:tc>
                <w:tcPr>
                  <w:tcW w:w="646" w:type="dxa"/>
                  <w:vAlign w:val="center"/>
                </w:tcPr>
                <w:p w14:paraId="1685DC77" w14:textId="43508683" w:rsidR="00334DAD" w:rsidRDefault="00122700"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4.81</w:t>
                  </w:r>
                  <w:r w:rsidR="00D5793A">
                    <w:rPr>
                      <w:rFonts w:asciiTheme="minorHAnsi" w:hAnsiTheme="minorHAnsi"/>
                      <w:b w:val="0"/>
                      <w:color w:val="auto"/>
                      <w:sz w:val="15"/>
                      <w:szCs w:val="15"/>
                      <w:lang w:val="en-US"/>
                    </w:rPr>
                    <w:t>%</w:t>
                  </w:r>
                </w:p>
              </w:tc>
              <w:tc>
                <w:tcPr>
                  <w:tcW w:w="646" w:type="dxa"/>
                  <w:vAlign w:val="center"/>
                </w:tcPr>
                <w:p w14:paraId="2867754F" w14:textId="1EFBFDE7" w:rsidR="00334DAD" w:rsidRDefault="00F502BE"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3.31</w:t>
                  </w:r>
                  <w:r w:rsidR="00291F2C">
                    <w:rPr>
                      <w:rFonts w:asciiTheme="minorHAnsi" w:hAnsiTheme="minorHAnsi"/>
                      <w:b w:val="0"/>
                      <w:color w:val="auto"/>
                      <w:sz w:val="15"/>
                      <w:szCs w:val="15"/>
                      <w:lang w:val="en-US"/>
                    </w:rPr>
                    <w:t>%</w:t>
                  </w:r>
                </w:p>
              </w:tc>
              <w:tc>
                <w:tcPr>
                  <w:tcW w:w="646" w:type="dxa"/>
                  <w:vAlign w:val="center"/>
                </w:tcPr>
                <w:p w14:paraId="240C1465" w14:textId="3A03CDAC" w:rsidR="00334DAD" w:rsidRDefault="00520A8B"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-1.47%</w:t>
                  </w:r>
                </w:p>
              </w:tc>
              <w:tc>
                <w:tcPr>
                  <w:tcW w:w="646" w:type="dxa"/>
                  <w:vAlign w:val="center"/>
                </w:tcPr>
                <w:p w14:paraId="7E771F1C" w14:textId="09430DE2" w:rsidR="00334DAD" w:rsidRDefault="00905E53"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3.28</w:t>
                  </w:r>
                  <w:r w:rsidR="00482FE9">
                    <w:rPr>
                      <w:rFonts w:asciiTheme="minorHAnsi" w:hAnsiTheme="minorHAnsi"/>
                      <w:b w:val="0"/>
                      <w:color w:val="auto"/>
                      <w:sz w:val="15"/>
                      <w:szCs w:val="15"/>
                      <w:lang w:val="en-US"/>
                    </w:rPr>
                    <w:t>%</w:t>
                  </w:r>
                </w:p>
              </w:tc>
              <w:tc>
                <w:tcPr>
                  <w:tcW w:w="646" w:type="dxa"/>
                  <w:vAlign w:val="center"/>
                </w:tcPr>
                <w:p w14:paraId="3AF16CC2" w14:textId="627EDD65" w:rsidR="00334DAD" w:rsidRDefault="00660DF6"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-1.53%</w:t>
                  </w:r>
                </w:p>
              </w:tc>
              <w:tc>
                <w:tcPr>
                  <w:tcW w:w="646" w:type="dxa"/>
                  <w:vAlign w:val="center"/>
                </w:tcPr>
                <w:p w14:paraId="5AE6246B" w14:textId="77777777" w:rsidR="00334DAD" w:rsidRDefault="00334DAD"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4A1003D3" w14:textId="77777777" w:rsidR="00334DAD" w:rsidRDefault="00334DAD"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636F7F28" w14:textId="77777777" w:rsidR="00334DAD" w:rsidRDefault="00334DAD" w:rsidP="00835938">
                  <w:pPr>
                    <w:pStyle w:val="Heading1"/>
                    <w:spacing w:before="0"/>
                    <w:jc w:val="center"/>
                    <w:outlineLvl w:val="0"/>
                    <w:rPr>
                      <w:rFonts w:asciiTheme="minorHAnsi" w:hAnsiTheme="minorHAnsi"/>
                      <w:b w:val="0"/>
                      <w:color w:val="auto"/>
                      <w:sz w:val="15"/>
                      <w:szCs w:val="15"/>
                      <w:lang w:val="en-US"/>
                    </w:rPr>
                  </w:pPr>
                </w:p>
              </w:tc>
              <w:tc>
                <w:tcPr>
                  <w:tcW w:w="779" w:type="dxa"/>
                  <w:vAlign w:val="center"/>
                </w:tcPr>
                <w:p w14:paraId="476E02A3" w14:textId="7934E3A3" w:rsidR="00334DAD" w:rsidRDefault="00660DF6" w:rsidP="00291F2C">
                  <w:pPr>
                    <w:pStyle w:val="Heading1"/>
                    <w:spacing w:before="0"/>
                    <w:ind w:left="1416" w:hanging="1416"/>
                    <w:jc w:val="center"/>
                    <w:outlineLvl w:val="0"/>
                    <w:rPr>
                      <w:rFonts w:asciiTheme="minorHAnsi" w:hAnsiTheme="minorHAnsi"/>
                      <w:color w:val="auto"/>
                      <w:sz w:val="15"/>
                      <w:szCs w:val="15"/>
                      <w:lang w:val="en-US"/>
                    </w:rPr>
                  </w:pPr>
                  <w:r>
                    <w:rPr>
                      <w:rFonts w:asciiTheme="minorHAnsi" w:hAnsiTheme="minorHAnsi"/>
                      <w:color w:val="auto"/>
                      <w:sz w:val="15"/>
                      <w:szCs w:val="15"/>
                      <w:lang w:val="en-US"/>
                    </w:rPr>
                    <w:t>-7</w:t>
                  </w:r>
                  <w:r w:rsidR="00737F08">
                    <w:rPr>
                      <w:rFonts w:asciiTheme="minorHAnsi" w:hAnsiTheme="minorHAnsi"/>
                      <w:color w:val="auto"/>
                      <w:sz w:val="15"/>
                      <w:szCs w:val="15"/>
                      <w:lang w:val="en-US"/>
                    </w:rPr>
                    <w:t>.</w:t>
                  </w:r>
                  <w:r>
                    <w:rPr>
                      <w:rFonts w:asciiTheme="minorHAnsi" w:hAnsiTheme="minorHAnsi"/>
                      <w:color w:val="auto"/>
                      <w:sz w:val="15"/>
                      <w:szCs w:val="15"/>
                      <w:lang w:val="en-US"/>
                    </w:rPr>
                    <w:t>08</w:t>
                  </w:r>
                  <w:r w:rsidR="00A14E8B">
                    <w:rPr>
                      <w:rFonts w:asciiTheme="minorHAnsi" w:hAnsiTheme="minorHAnsi"/>
                      <w:color w:val="auto"/>
                      <w:sz w:val="15"/>
                      <w:szCs w:val="15"/>
                      <w:lang w:val="en-US"/>
                    </w:rPr>
                    <w:t>%</w:t>
                  </w:r>
                </w:p>
              </w:tc>
            </w:tr>
          </w:tbl>
          <w:p w14:paraId="03609F04" w14:textId="77777777" w:rsidR="0086292E" w:rsidRDefault="001B1F78" w:rsidP="002B5811">
            <w:pPr>
              <w:pStyle w:val="Heading1"/>
              <w:spacing w:before="240" w:after="120"/>
              <w:outlineLvl w:val="0"/>
              <w:rPr>
                <w:rFonts w:asciiTheme="minorHAnsi" w:hAnsiTheme="minorHAnsi"/>
                <w:color w:val="C00000"/>
                <w:sz w:val="24"/>
                <w:lang w:val="en-US"/>
              </w:rPr>
            </w:pPr>
            <w:r>
              <w:rPr>
                <w:rFonts w:asciiTheme="minorHAnsi" w:hAnsiTheme="minorHAnsi"/>
                <w:color w:val="C00000"/>
                <w:sz w:val="24"/>
                <w:lang w:val="en-US"/>
              </w:rPr>
              <w:t>Figures &amp;</w:t>
            </w:r>
            <w:r w:rsidR="0086292E" w:rsidRPr="00835938">
              <w:rPr>
                <w:rFonts w:asciiTheme="minorHAnsi" w:hAnsiTheme="minorHAnsi"/>
                <w:color w:val="C00000"/>
                <w:sz w:val="24"/>
                <w:lang w:val="en-US"/>
              </w:rPr>
              <w:t xml:space="preserve"> Ratios</w:t>
            </w:r>
          </w:p>
          <w:p w14:paraId="012D998C" w14:textId="77777777" w:rsidR="006D2AFC" w:rsidRDefault="006D2AFC" w:rsidP="006D2AFC">
            <w:pPr>
              <w:rPr>
                <w:lang w:val="en-US"/>
              </w:rPr>
            </w:pPr>
          </w:p>
          <w:p w14:paraId="4D685278" w14:textId="4E773F3C" w:rsidR="006D2AFC" w:rsidRPr="006D2AFC" w:rsidRDefault="00EB03EC" w:rsidP="006D2AFC">
            <w:pPr>
              <w:rPr>
                <w:lang w:val="en-US"/>
              </w:rPr>
            </w:pPr>
            <w:r w:rsidRPr="00EB03EC">
              <w:rPr>
                <w:noProof/>
                <w:lang w:val="en-US" w:eastAsia="en-US"/>
              </w:rPr>
              <w:drawing>
                <wp:inline distT="0" distB="0" distL="0" distR="0" wp14:anchorId="699B4D04" wp14:editId="463DDDEA">
                  <wp:extent cx="6353175" cy="1714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3175" cy="1714500"/>
                          </a:xfrm>
                          <a:prstGeom prst="rect">
                            <a:avLst/>
                          </a:prstGeom>
                          <a:noFill/>
                          <a:ln>
                            <a:noFill/>
                          </a:ln>
                        </pic:spPr>
                      </pic:pic>
                    </a:graphicData>
                  </a:graphic>
                </wp:inline>
              </w:drawing>
            </w:r>
          </w:p>
          <w:p w14:paraId="2CC108BD" w14:textId="77AABE44" w:rsidR="00B97ADE" w:rsidRPr="00340BB1" w:rsidRDefault="005C6253" w:rsidP="002964CD">
            <w:pPr>
              <w:rPr>
                <w:lang w:val="en-US"/>
              </w:rPr>
            </w:pPr>
            <w:r w:rsidRPr="00A97802">
              <w:rPr>
                <w:noProof/>
                <w:lang w:val="en-US" w:eastAsia="de-CH"/>
              </w:rPr>
              <w:t xml:space="preserve"> </w:t>
            </w:r>
            <w:r w:rsidR="00871ECE" w:rsidRPr="006B7967">
              <w:rPr>
                <w:noProof/>
                <w:lang w:val="en-US" w:eastAsia="de-CH"/>
              </w:rPr>
              <w:t xml:space="preserve"> </w:t>
            </w:r>
          </w:p>
        </w:tc>
        <w:tc>
          <w:tcPr>
            <w:tcW w:w="166" w:type="dxa"/>
          </w:tcPr>
          <w:p w14:paraId="0479128C" w14:textId="77777777" w:rsidR="0086292E" w:rsidRPr="00835938" w:rsidRDefault="0086292E" w:rsidP="002B5811">
            <w:pPr>
              <w:pStyle w:val="Heading1"/>
              <w:spacing w:before="240" w:after="120"/>
              <w:outlineLvl w:val="0"/>
              <w:rPr>
                <w:rFonts w:asciiTheme="minorHAnsi" w:hAnsiTheme="minorHAnsi"/>
                <w:color w:val="C00000"/>
                <w:sz w:val="24"/>
                <w:lang w:val="en-US"/>
              </w:rPr>
            </w:pPr>
          </w:p>
        </w:tc>
        <w:tc>
          <w:tcPr>
            <w:tcW w:w="162" w:type="dxa"/>
          </w:tcPr>
          <w:p w14:paraId="33C92B90" w14:textId="77777777" w:rsidR="0086292E" w:rsidRPr="00835938" w:rsidRDefault="0086292E" w:rsidP="002B5811">
            <w:pPr>
              <w:pStyle w:val="Heading1"/>
              <w:spacing w:before="240" w:after="120"/>
              <w:outlineLvl w:val="0"/>
              <w:rPr>
                <w:rFonts w:asciiTheme="minorHAnsi" w:hAnsiTheme="minorHAnsi"/>
                <w:color w:val="C00000"/>
                <w:sz w:val="24"/>
                <w:lang w:val="en-US"/>
              </w:rPr>
            </w:pPr>
          </w:p>
        </w:tc>
        <w:tc>
          <w:tcPr>
            <w:tcW w:w="275" w:type="dxa"/>
          </w:tcPr>
          <w:p w14:paraId="4798F2F7" w14:textId="77777777" w:rsidR="00964879" w:rsidRPr="00835938" w:rsidRDefault="00964879" w:rsidP="00964879">
            <w:pPr>
              <w:rPr>
                <w:lang w:val="en-US"/>
              </w:rPr>
            </w:pPr>
          </w:p>
        </w:tc>
        <w:tc>
          <w:tcPr>
            <w:tcW w:w="177" w:type="dxa"/>
          </w:tcPr>
          <w:p w14:paraId="51ADC00A" w14:textId="77777777" w:rsidR="0086292E" w:rsidRPr="00835938" w:rsidRDefault="0086292E" w:rsidP="002B5811">
            <w:pPr>
              <w:pStyle w:val="Heading1"/>
              <w:spacing w:before="240" w:after="120"/>
              <w:outlineLvl w:val="0"/>
              <w:rPr>
                <w:rFonts w:asciiTheme="minorHAnsi" w:hAnsiTheme="minorHAnsi"/>
                <w:color w:val="C00000"/>
                <w:sz w:val="24"/>
                <w:lang w:val="en-US"/>
              </w:rPr>
            </w:pPr>
          </w:p>
        </w:tc>
        <w:tc>
          <w:tcPr>
            <w:tcW w:w="176" w:type="dxa"/>
          </w:tcPr>
          <w:p w14:paraId="11AD1AC0" w14:textId="77777777" w:rsidR="0086292E" w:rsidRPr="00835938" w:rsidRDefault="0086292E" w:rsidP="002B5811">
            <w:pPr>
              <w:pStyle w:val="Heading1"/>
              <w:spacing w:before="240" w:after="120"/>
              <w:outlineLvl w:val="0"/>
              <w:rPr>
                <w:rFonts w:asciiTheme="minorHAnsi" w:hAnsiTheme="minorHAnsi"/>
                <w:color w:val="C00000"/>
                <w:sz w:val="24"/>
                <w:lang w:val="en-US"/>
              </w:rPr>
            </w:pPr>
          </w:p>
        </w:tc>
      </w:tr>
    </w:tbl>
    <w:p w14:paraId="4D419669" w14:textId="72E98DA4" w:rsidR="003D230E" w:rsidRDefault="00660DF6" w:rsidP="00F502BE">
      <w:pPr>
        <w:jc w:val="center"/>
        <w:rPr>
          <w:lang w:val="en-US"/>
        </w:rPr>
      </w:pPr>
      <w:bookmarkStart w:id="0" w:name="_GoBack"/>
      <w:r w:rsidRPr="00660DF6">
        <w:rPr>
          <w:noProof/>
          <w:lang w:val="en-US" w:eastAsia="en-US"/>
        </w:rPr>
        <w:drawing>
          <wp:inline distT="0" distB="0" distL="0" distR="0" wp14:anchorId="5C039A23" wp14:editId="686AC703">
            <wp:extent cx="3495035" cy="2705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3910" cy="2719709"/>
                    </a:xfrm>
                    <a:prstGeom prst="rect">
                      <a:avLst/>
                    </a:prstGeom>
                    <a:noFill/>
                    <a:ln>
                      <a:noFill/>
                    </a:ln>
                  </pic:spPr>
                </pic:pic>
              </a:graphicData>
            </a:graphic>
          </wp:inline>
        </w:drawing>
      </w:r>
      <w:bookmarkEnd w:id="0"/>
    </w:p>
    <w:tbl>
      <w:tblPr>
        <w:tblStyle w:val="TableGrid"/>
        <w:tblW w:w="9356" w:type="dxa"/>
        <w:tblInd w:w="-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Look w:val="04A0" w:firstRow="1" w:lastRow="0" w:firstColumn="1" w:lastColumn="0" w:noHBand="0" w:noVBand="1"/>
      </w:tblPr>
      <w:tblGrid>
        <w:gridCol w:w="4786"/>
        <w:gridCol w:w="4570"/>
      </w:tblGrid>
      <w:tr w:rsidR="00331F6A" w:rsidRPr="00835938" w14:paraId="050330B6" w14:textId="77777777" w:rsidTr="00F502BE">
        <w:trPr>
          <w:trHeight w:val="1657"/>
        </w:trPr>
        <w:tc>
          <w:tcPr>
            <w:tcW w:w="4786" w:type="dxa"/>
            <w:tcBorders>
              <w:top w:val="nil"/>
              <w:left w:val="nil"/>
              <w:bottom w:val="nil"/>
              <w:right w:val="nil"/>
            </w:tcBorders>
            <w:shd w:val="clear" w:color="auto" w:fill="F2F2F2" w:themeFill="background1" w:themeFillShade="F2"/>
          </w:tcPr>
          <w:p w14:paraId="683416C1" w14:textId="77777777" w:rsidR="008E3503" w:rsidRPr="00835938" w:rsidRDefault="008E3503" w:rsidP="00C013B6">
            <w:pPr>
              <w:rPr>
                <w:sz w:val="10"/>
                <w:lang w:val="en-US"/>
              </w:rPr>
            </w:pPr>
          </w:p>
          <w:p w14:paraId="3159D76F" w14:textId="77777777" w:rsidR="006A5577" w:rsidRPr="00835938" w:rsidRDefault="006A5577" w:rsidP="00C013B6">
            <w:pPr>
              <w:rPr>
                <w:b/>
                <w:sz w:val="20"/>
                <w:lang w:val="en-US"/>
              </w:rPr>
            </w:pPr>
            <w:r w:rsidRPr="00835938">
              <w:rPr>
                <w:b/>
                <w:color w:val="C00000"/>
                <w:sz w:val="24"/>
                <w:lang w:val="en-US"/>
              </w:rPr>
              <w:t>Certificate Terms</w:t>
            </w:r>
          </w:p>
          <w:p w14:paraId="5EAA97B0" w14:textId="071273BC" w:rsidR="00331F6A" w:rsidRPr="00835938" w:rsidRDefault="00331F6A" w:rsidP="00C013B6">
            <w:pPr>
              <w:rPr>
                <w:sz w:val="20"/>
                <w:lang w:val="en-US"/>
              </w:rPr>
            </w:pPr>
            <w:r w:rsidRPr="00835938">
              <w:rPr>
                <w:sz w:val="20"/>
                <w:lang w:val="en-US"/>
              </w:rPr>
              <w:t xml:space="preserve">Issuer: </w:t>
            </w:r>
            <w:r w:rsidR="008C0330">
              <w:rPr>
                <w:sz w:val="20"/>
                <w:lang w:val="en-US"/>
              </w:rPr>
              <w:t>UBS AG, Zurich</w:t>
            </w:r>
          </w:p>
          <w:p w14:paraId="518A1706" w14:textId="77777777" w:rsidR="00331F6A" w:rsidRPr="00835938" w:rsidRDefault="00FE7D32" w:rsidP="00C013B6">
            <w:pPr>
              <w:rPr>
                <w:sz w:val="20"/>
                <w:lang w:val="en-US"/>
              </w:rPr>
            </w:pPr>
            <w:r w:rsidRPr="00835938">
              <w:rPr>
                <w:sz w:val="20"/>
                <w:lang w:val="en-US"/>
              </w:rPr>
              <w:t>Investment Manager</w:t>
            </w:r>
            <w:r w:rsidR="00331F6A" w:rsidRPr="00835938">
              <w:rPr>
                <w:sz w:val="20"/>
                <w:lang w:val="en-US"/>
              </w:rPr>
              <w:t>: Aspermont Capital AG</w:t>
            </w:r>
          </w:p>
          <w:p w14:paraId="39A22416" w14:textId="7ED15391" w:rsidR="00331F6A" w:rsidRPr="00835938" w:rsidRDefault="00331F6A" w:rsidP="00C013B6">
            <w:pPr>
              <w:rPr>
                <w:sz w:val="20"/>
                <w:lang w:val="en-US"/>
              </w:rPr>
            </w:pPr>
            <w:r w:rsidRPr="00835938">
              <w:rPr>
                <w:sz w:val="20"/>
                <w:lang w:val="en-US"/>
              </w:rPr>
              <w:t xml:space="preserve">ISIN: </w:t>
            </w:r>
            <w:r w:rsidR="008C0330">
              <w:rPr>
                <w:sz w:val="20"/>
                <w:lang w:val="en-US"/>
              </w:rPr>
              <w:t>CH0473592290</w:t>
            </w:r>
          </w:p>
          <w:p w14:paraId="1C4F30D8" w14:textId="77777777" w:rsidR="00331F6A" w:rsidRPr="00835938" w:rsidRDefault="00331F6A" w:rsidP="00C013B6">
            <w:pPr>
              <w:rPr>
                <w:sz w:val="20"/>
                <w:lang w:val="en-US"/>
              </w:rPr>
            </w:pPr>
            <w:r w:rsidRPr="00835938">
              <w:rPr>
                <w:sz w:val="20"/>
                <w:lang w:val="en-US"/>
              </w:rPr>
              <w:t>Profile: Tracker-Certificate (SVSP-Code: 1300)</w:t>
            </w:r>
          </w:p>
          <w:p w14:paraId="25118192" w14:textId="5BBB8CC7" w:rsidR="006939B5" w:rsidRPr="00835938" w:rsidRDefault="006939B5" w:rsidP="008C0330">
            <w:pPr>
              <w:rPr>
                <w:sz w:val="20"/>
                <w:lang w:val="en-US"/>
              </w:rPr>
            </w:pPr>
            <w:r w:rsidRPr="00835938">
              <w:rPr>
                <w:sz w:val="20"/>
                <w:lang w:val="en-US"/>
              </w:rPr>
              <w:t xml:space="preserve">Launch date: </w:t>
            </w:r>
            <w:r w:rsidR="008C0330">
              <w:rPr>
                <w:sz w:val="20"/>
                <w:lang w:val="en-US"/>
              </w:rPr>
              <w:t>December 09</w:t>
            </w:r>
            <w:r w:rsidR="00FE7D32" w:rsidRPr="00835938">
              <w:rPr>
                <w:sz w:val="20"/>
                <w:lang w:val="en-US"/>
              </w:rPr>
              <w:t>,</w:t>
            </w:r>
            <w:r w:rsidR="00B77D68" w:rsidRPr="00835938">
              <w:rPr>
                <w:sz w:val="20"/>
                <w:lang w:val="en-US"/>
              </w:rPr>
              <w:t xml:space="preserve"> 201</w:t>
            </w:r>
            <w:r w:rsidR="008C0330">
              <w:rPr>
                <w:sz w:val="20"/>
                <w:lang w:val="en-US"/>
              </w:rPr>
              <w:t>9</w:t>
            </w:r>
          </w:p>
        </w:tc>
        <w:tc>
          <w:tcPr>
            <w:tcW w:w="4570" w:type="dxa"/>
            <w:tcBorders>
              <w:top w:val="nil"/>
              <w:left w:val="nil"/>
              <w:bottom w:val="nil"/>
              <w:right w:val="nil"/>
            </w:tcBorders>
            <w:shd w:val="clear" w:color="auto" w:fill="F2F2F2" w:themeFill="background1" w:themeFillShade="F2"/>
          </w:tcPr>
          <w:p w14:paraId="2BA4933C" w14:textId="77777777" w:rsidR="008E3503" w:rsidRPr="00835938" w:rsidRDefault="008E3503" w:rsidP="00C013B6">
            <w:pPr>
              <w:rPr>
                <w:sz w:val="10"/>
                <w:lang w:val="en-US"/>
              </w:rPr>
            </w:pPr>
          </w:p>
          <w:p w14:paraId="63B12C6D" w14:textId="77777777" w:rsidR="000B25A8" w:rsidRDefault="000B25A8" w:rsidP="00C013B6">
            <w:pPr>
              <w:rPr>
                <w:sz w:val="20"/>
                <w:lang w:val="en-US"/>
              </w:rPr>
            </w:pPr>
          </w:p>
          <w:p w14:paraId="1F024451" w14:textId="77777777" w:rsidR="00331F6A" w:rsidRPr="00835938" w:rsidRDefault="00331F6A" w:rsidP="00C013B6">
            <w:pPr>
              <w:rPr>
                <w:sz w:val="20"/>
                <w:lang w:val="en-US"/>
              </w:rPr>
            </w:pPr>
            <w:r w:rsidRPr="00835938">
              <w:rPr>
                <w:sz w:val="20"/>
                <w:lang w:val="en-US"/>
              </w:rPr>
              <w:t>Currency: EUR</w:t>
            </w:r>
          </w:p>
          <w:p w14:paraId="35038E6D" w14:textId="77777777" w:rsidR="00331F6A" w:rsidRPr="00835938" w:rsidRDefault="00331F6A" w:rsidP="00C013B6">
            <w:pPr>
              <w:rPr>
                <w:sz w:val="20"/>
                <w:lang w:val="en-US"/>
              </w:rPr>
            </w:pPr>
            <w:r w:rsidRPr="00835938">
              <w:rPr>
                <w:sz w:val="20"/>
                <w:lang w:val="en-US"/>
              </w:rPr>
              <w:t>Denomination: EUR 100</w:t>
            </w:r>
            <w:r w:rsidR="00FE7D32" w:rsidRPr="00835938">
              <w:rPr>
                <w:sz w:val="20"/>
                <w:lang w:val="en-US"/>
              </w:rPr>
              <w:t>0</w:t>
            </w:r>
            <w:r w:rsidRPr="00835938">
              <w:rPr>
                <w:sz w:val="20"/>
                <w:lang w:val="en-US"/>
              </w:rPr>
              <w:t xml:space="preserve"> per Unit</w:t>
            </w:r>
          </w:p>
          <w:p w14:paraId="647BAB82" w14:textId="1053C8D9" w:rsidR="00331F6A" w:rsidRPr="00835938" w:rsidRDefault="00331F6A" w:rsidP="00C013B6">
            <w:pPr>
              <w:rPr>
                <w:sz w:val="20"/>
                <w:lang w:val="en-US"/>
              </w:rPr>
            </w:pPr>
            <w:r w:rsidRPr="00835938">
              <w:rPr>
                <w:sz w:val="20"/>
                <w:lang w:val="en-US"/>
              </w:rPr>
              <w:t>Maturity</w:t>
            </w:r>
            <w:r w:rsidR="00FE7D32" w:rsidRPr="00835938">
              <w:rPr>
                <w:sz w:val="20"/>
                <w:lang w:val="en-US"/>
              </w:rPr>
              <w:t xml:space="preserve"> date</w:t>
            </w:r>
            <w:r w:rsidRPr="00835938">
              <w:rPr>
                <w:sz w:val="20"/>
                <w:lang w:val="en-US"/>
              </w:rPr>
              <w:t xml:space="preserve">: </w:t>
            </w:r>
            <w:r w:rsidR="008C0330">
              <w:rPr>
                <w:sz w:val="20"/>
                <w:lang w:val="en-US"/>
              </w:rPr>
              <w:t>December 09, 2026</w:t>
            </w:r>
          </w:p>
          <w:p w14:paraId="776F981A" w14:textId="77777777" w:rsidR="00331F6A" w:rsidRPr="00835938" w:rsidRDefault="00331F6A" w:rsidP="00C013B6">
            <w:pPr>
              <w:rPr>
                <w:sz w:val="20"/>
                <w:lang w:val="en-US"/>
              </w:rPr>
            </w:pPr>
            <w:r w:rsidRPr="00835938">
              <w:rPr>
                <w:sz w:val="20"/>
                <w:lang w:val="en-US"/>
              </w:rPr>
              <w:t xml:space="preserve">Listing: </w:t>
            </w:r>
            <w:r w:rsidR="00FE7D32" w:rsidRPr="00835938">
              <w:rPr>
                <w:sz w:val="20"/>
                <w:lang w:val="en-US"/>
              </w:rPr>
              <w:t>None</w:t>
            </w:r>
          </w:p>
          <w:p w14:paraId="0F2B23A5" w14:textId="77777777" w:rsidR="00331F6A" w:rsidRPr="00835938" w:rsidRDefault="00331F6A" w:rsidP="00C013B6">
            <w:pPr>
              <w:rPr>
                <w:sz w:val="20"/>
                <w:lang w:val="en-US"/>
              </w:rPr>
            </w:pPr>
          </w:p>
        </w:tc>
      </w:tr>
      <w:tr w:rsidR="00331F6A" w:rsidRPr="00835938" w14:paraId="08C4EAF3" w14:textId="77777777" w:rsidTr="00F502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4786" w:type="dxa"/>
            <w:tcBorders>
              <w:top w:val="nil"/>
              <w:left w:val="nil"/>
              <w:bottom w:val="nil"/>
              <w:right w:val="nil"/>
            </w:tcBorders>
            <w:shd w:val="clear" w:color="auto" w:fill="F2F2F2" w:themeFill="background1" w:themeFillShade="F2"/>
          </w:tcPr>
          <w:p w14:paraId="66705955" w14:textId="77777777" w:rsidR="00331F6A" w:rsidRPr="00835938" w:rsidRDefault="00331F6A" w:rsidP="00C013B6">
            <w:pPr>
              <w:rPr>
                <w:sz w:val="10"/>
                <w:lang w:val="en-US"/>
              </w:rPr>
            </w:pPr>
          </w:p>
        </w:tc>
        <w:tc>
          <w:tcPr>
            <w:tcW w:w="4570" w:type="dxa"/>
            <w:tcBorders>
              <w:top w:val="nil"/>
              <w:left w:val="nil"/>
              <w:bottom w:val="nil"/>
              <w:right w:val="nil"/>
            </w:tcBorders>
            <w:shd w:val="clear" w:color="auto" w:fill="F2F2F2" w:themeFill="background1" w:themeFillShade="F2"/>
          </w:tcPr>
          <w:p w14:paraId="7F1FF9F3" w14:textId="77777777" w:rsidR="00331F6A" w:rsidRPr="00835938" w:rsidRDefault="00331F6A" w:rsidP="00C013B6">
            <w:pPr>
              <w:rPr>
                <w:sz w:val="10"/>
                <w:lang w:val="en-US"/>
              </w:rPr>
            </w:pPr>
          </w:p>
        </w:tc>
      </w:tr>
    </w:tbl>
    <w:p w14:paraId="05760F93" w14:textId="77777777" w:rsidR="00151D41" w:rsidRPr="00835938" w:rsidRDefault="00151D41" w:rsidP="00340BB1">
      <w:pPr>
        <w:rPr>
          <w:lang w:val="en-US"/>
        </w:rPr>
      </w:pPr>
    </w:p>
    <w:sectPr w:rsidR="00151D41" w:rsidRPr="00835938" w:rsidSect="00821A8C">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BEC96" w14:textId="77777777" w:rsidR="00B44F4A" w:rsidRDefault="00B44F4A" w:rsidP="00437B29">
      <w:pPr>
        <w:spacing w:after="0" w:line="240" w:lineRule="auto"/>
      </w:pPr>
      <w:r>
        <w:separator/>
      </w:r>
    </w:p>
  </w:endnote>
  <w:endnote w:type="continuationSeparator" w:id="0">
    <w:p w14:paraId="2F1D9EB3" w14:textId="77777777" w:rsidR="00B44F4A" w:rsidRDefault="00B44F4A" w:rsidP="0043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DDE1B" w14:textId="77777777" w:rsidR="00B44F4A" w:rsidRDefault="00B44F4A" w:rsidP="00A336CC">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rPr>
        <w:sz w:val="16"/>
        <w:lang w:val="en-US"/>
      </w:rPr>
    </w:pPr>
    <w:r w:rsidRPr="001B23B6">
      <w:rPr>
        <w:b/>
        <w:sz w:val="16"/>
        <w:u w:val="single"/>
        <w:lang w:val="en-US"/>
      </w:rPr>
      <w:t>Legal Disclaimer:</w:t>
    </w:r>
    <w:r w:rsidRPr="001B23B6">
      <w:rPr>
        <w:sz w:val="16"/>
        <w:lang w:val="en-US"/>
      </w:rPr>
      <w:t xml:space="preserve"> </w:t>
    </w:r>
  </w:p>
  <w:p w14:paraId="307E6416" w14:textId="77777777" w:rsidR="00B44F4A" w:rsidRDefault="00B44F4A" w:rsidP="00A336CC">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rPr>
        <w:sz w:val="14"/>
        <w:lang w:val="en-US"/>
      </w:rPr>
    </w:pPr>
  </w:p>
  <w:p w14:paraId="7BD27542" w14:textId="77777777" w:rsidR="00B44F4A" w:rsidRDefault="00B44F4A" w:rsidP="00A336CC">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rPr>
        <w:sz w:val="14"/>
        <w:lang w:val="en-US"/>
      </w:rPr>
    </w:pPr>
    <w:r w:rsidRPr="00760D1A">
      <w:rPr>
        <w:sz w:val="14"/>
        <w:lang w:val="en-US"/>
      </w:rPr>
      <w:t>The information provided is exclusively for informational purposes only. All of the information contained has been carefully selected and obtained from sources that Aspermont Capital AG fundamentally believes to be reliable. No guarantee is assumed as to the accuracy or completeness of the information. Opinions constitute our judgment as at the time of publication and are subject to change. The information contained herein is not intended as an offer or a solicitation to buy or sell securities or any other investment or banking product, nor does it constitute a personal recommendation. The value of investments, and the income from them, can go down as well as up. Past performances should not be taken as a guide to future performances.</w:t>
    </w:r>
  </w:p>
  <w:p w14:paraId="53E959F0" w14:textId="77777777" w:rsidR="00B44F4A" w:rsidRDefault="00B44F4A" w:rsidP="00A336CC">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rPr>
        <w:sz w:val="14"/>
        <w:lang w:val="en-US"/>
      </w:rPr>
    </w:pPr>
  </w:p>
  <w:p w14:paraId="3A2C3ADB" w14:textId="46255953" w:rsidR="00B44F4A" w:rsidRDefault="00B44F4A" w:rsidP="00A336CC">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rPr>
        <w:b/>
        <w:sz w:val="16"/>
        <w:lang w:val="en-US"/>
      </w:rPr>
    </w:pPr>
    <w:r w:rsidRPr="001B23B6">
      <w:rPr>
        <w:b/>
        <w:sz w:val="16"/>
        <w:lang w:val="en-US"/>
      </w:rPr>
      <w:t xml:space="preserve">Aspermont Capital AG, </w:t>
    </w:r>
    <w:proofErr w:type="spellStart"/>
    <w:r w:rsidRPr="001B23B6">
      <w:rPr>
        <w:b/>
        <w:sz w:val="16"/>
        <w:lang w:val="en-US"/>
      </w:rPr>
      <w:t>Loewenstrasse</w:t>
    </w:r>
    <w:proofErr w:type="spellEnd"/>
    <w:r w:rsidRPr="001B23B6">
      <w:rPr>
        <w:b/>
        <w:sz w:val="16"/>
        <w:lang w:val="en-US"/>
      </w:rPr>
      <w:t xml:space="preserve"> 66, CH-8001 Zurich - +41-43 888 66 44, </w:t>
    </w:r>
    <w:hyperlink r:id="rId1" w:history="1">
      <w:r w:rsidRPr="001B23B6">
        <w:rPr>
          <w:rStyle w:val="Hyperlink"/>
          <w:color w:val="auto"/>
          <w:sz w:val="16"/>
          <w:lang w:val="en-US"/>
        </w:rPr>
        <w:t>info@ascap.ch</w:t>
      </w:r>
    </w:hyperlink>
    <w:r w:rsidRPr="001B23B6">
      <w:rPr>
        <w:b/>
        <w:sz w:val="16"/>
        <w:lang w:val="en-US"/>
      </w:rPr>
      <w:t>, www.aspermontcapital.ch</w:t>
    </w:r>
  </w:p>
  <w:p w14:paraId="4DDAC843" w14:textId="77777777" w:rsidR="00A9207C" w:rsidRPr="001B23B6" w:rsidRDefault="00A9207C" w:rsidP="00A336CC">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rPr>
        <w:b/>
        <w:sz w:val="16"/>
        <w:lang w:val="en-US"/>
      </w:rPr>
    </w:pPr>
    <w:r w:rsidRPr="00A9207C">
      <w:rPr>
        <w:b/>
        <w:sz w:val="16"/>
        <w:lang w:val="en-US"/>
      </w:rPr>
      <w:t>Copyright © 2018 Aspermont Capital AG.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587A1" w14:textId="77777777" w:rsidR="00B44F4A" w:rsidRDefault="00B44F4A" w:rsidP="00437B29">
      <w:pPr>
        <w:spacing w:after="0" w:line="240" w:lineRule="auto"/>
      </w:pPr>
      <w:r>
        <w:separator/>
      </w:r>
    </w:p>
  </w:footnote>
  <w:footnote w:type="continuationSeparator" w:id="0">
    <w:p w14:paraId="5BF89687" w14:textId="77777777" w:rsidR="00B44F4A" w:rsidRDefault="00B44F4A" w:rsidP="00437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390B1" w14:textId="77777777" w:rsidR="00B44F4A" w:rsidRDefault="00B44F4A">
    <w:pPr>
      <w:pStyle w:val="Header"/>
    </w:pPr>
    <w:r>
      <w:tab/>
    </w:r>
    <w:r>
      <w:tab/>
    </w:r>
    <w:r w:rsidRPr="00437B29">
      <w:rPr>
        <w:noProof/>
        <w:lang w:val="en-US" w:eastAsia="en-US"/>
      </w:rPr>
      <w:drawing>
        <wp:inline distT="0" distB="0" distL="0" distR="0" wp14:anchorId="00B60BFF" wp14:editId="62F6F579">
          <wp:extent cx="1314450" cy="209550"/>
          <wp:effectExtent l="19050" t="0" r="0" b="0"/>
          <wp:docPr id="2" name="Picture 1" descr="Aspermont-FinServ_RGB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ermont-FinServ_RGB_L"/>
                  <pic:cNvPicPr>
                    <a:picLocks noChangeAspect="1" noChangeArrowheads="1"/>
                  </pic:cNvPicPr>
                </pic:nvPicPr>
                <pic:blipFill>
                  <a:blip r:embed="rId1"/>
                  <a:srcRect/>
                  <a:stretch>
                    <a:fillRect/>
                  </a:stretch>
                </pic:blipFill>
                <pic:spPr bwMode="auto">
                  <a:xfrm>
                    <a:off x="0" y="0"/>
                    <a:ext cx="1314450" cy="2095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68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29"/>
    <w:rsid w:val="00001D80"/>
    <w:rsid w:val="00003EED"/>
    <w:rsid w:val="00004613"/>
    <w:rsid w:val="00007D23"/>
    <w:rsid w:val="00007DDD"/>
    <w:rsid w:val="000110D3"/>
    <w:rsid w:val="00013FFF"/>
    <w:rsid w:val="00014A55"/>
    <w:rsid w:val="00016181"/>
    <w:rsid w:val="0001747D"/>
    <w:rsid w:val="000225C9"/>
    <w:rsid w:val="00022CE4"/>
    <w:rsid w:val="00024A46"/>
    <w:rsid w:val="00024F63"/>
    <w:rsid w:val="00024F7A"/>
    <w:rsid w:val="00030791"/>
    <w:rsid w:val="00032463"/>
    <w:rsid w:val="00034B08"/>
    <w:rsid w:val="00034E0F"/>
    <w:rsid w:val="000369ED"/>
    <w:rsid w:val="00036EFD"/>
    <w:rsid w:val="00054942"/>
    <w:rsid w:val="000559CF"/>
    <w:rsid w:val="00056994"/>
    <w:rsid w:val="0005783C"/>
    <w:rsid w:val="000609BF"/>
    <w:rsid w:val="00063AF1"/>
    <w:rsid w:val="00072DB9"/>
    <w:rsid w:val="00080EF4"/>
    <w:rsid w:val="000817D6"/>
    <w:rsid w:val="00082AAD"/>
    <w:rsid w:val="00082DC9"/>
    <w:rsid w:val="0008471A"/>
    <w:rsid w:val="000864EB"/>
    <w:rsid w:val="00091112"/>
    <w:rsid w:val="000916D9"/>
    <w:rsid w:val="0009445B"/>
    <w:rsid w:val="00094ED5"/>
    <w:rsid w:val="000957C8"/>
    <w:rsid w:val="000962E0"/>
    <w:rsid w:val="0009796D"/>
    <w:rsid w:val="000A0072"/>
    <w:rsid w:val="000A1431"/>
    <w:rsid w:val="000A2AE4"/>
    <w:rsid w:val="000A4D43"/>
    <w:rsid w:val="000A696E"/>
    <w:rsid w:val="000A7FDE"/>
    <w:rsid w:val="000B25A8"/>
    <w:rsid w:val="000B3D39"/>
    <w:rsid w:val="000B4637"/>
    <w:rsid w:val="000B6C80"/>
    <w:rsid w:val="000B74C9"/>
    <w:rsid w:val="000B7B5D"/>
    <w:rsid w:val="000C4616"/>
    <w:rsid w:val="000C6B56"/>
    <w:rsid w:val="000C7220"/>
    <w:rsid w:val="000C7AF6"/>
    <w:rsid w:val="000D26E3"/>
    <w:rsid w:val="000D2798"/>
    <w:rsid w:val="000D3472"/>
    <w:rsid w:val="000D53B3"/>
    <w:rsid w:val="000D6637"/>
    <w:rsid w:val="000E015F"/>
    <w:rsid w:val="000E4FF8"/>
    <w:rsid w:val="000E68BE"/>
    <w:rsid w:val="000F108B"/>
    <w:rsid w:val="000F1AD3"/>
    <w:rsid w:val="000F4E9F"/>
    <w:rsid w:val="001069EC"/>
    <w:rsid w:val="001120DC"/>
    <w:rsid w:val="001124E0"/>
    <w:rsid w:val="00114584"/>
    <w:rsid w:val="00116792"/>
    <w:rsid w:val="00121E8B"/>
    <w:rsid w:val="0012204D"/>
    <w:rsid w:val="00122700"/>
    <w:rsid w:val="00123B0B"/>
    <w:rsid w:val="00125168"/>
    <w:rsid w:val="001258AF"/>
    <w:rsid w:val="00130C1C"/>
    <w:rsid w:val="001312FC"/>
    <w:rsid w:val="00132E83"/>
    <w:rsid w:val="00133BEC"/>
    <w:rsid w:val="00135C68"/>
    <w:rsid w:val="001408DB"/>
    <w:rsid w:val="00140C4D"/>
    <w:rsid w:val="00146EDB"/>
    <w:rsid w:val="00150331"/>
    <w:rsid w:val="00150469"/>
    <w:rsid w:val="00151D41"/>
    <w:rsid w:val="001536C9"/>
    <w:rsid w:val="00155076"/>
    <w:rsid w:val="0015626D"/>
    <w:rsid w:val="00173A63"/>
    <w:rsid w:val="00181B45"/>
    <w:rsid w:val="00181BB8"/>
    <w:rsid w:val="00183C78"/>
    <w:rsid w:val="00184ED7"/>
    <w:rsid w:val="00187215"/>
    <w:rsid w:val="00191855"/>
    <w:rsid w:val="001927EC"/>
    <w:rsid w:val="00196731"/>
    <w:rsid w:val="001A1D0D"/>
    <w:rsid w:val="001A3354"/>
    <w:rsid w:val="001A6557"/>
    <w:rsid w:val="001B024B"/>
    <w:rsid w:val="001B1F78"/>
    <w:rsid w:val="001B66BB"/>
    <w:rsid w:val="001C204E"/>
    <w:rsid w:val="001C600B"/>
    <w:rsid w:val="001C61C7"/>
    <w:rsid w:val="001C63AE"/>
    <w:rsid w:val="001D40F2"/>
    <w:rsid w:val="001E0BCF"/>
    <w:rsid w:val="001E3EC3"/>
    <w:rsid w:val="001E7B4D"/>
    <w:rsid w:val="001E7B84"/>
    <w:rsid w:val="001F0D5E"/>
    <w:rsid w:val="001F30DB"/>
    <w:rsid w:val="001F37C1"/>
    <w:rsid w:val="001F4235"/>
    <w:rsid w:val="002046BC"/>
    <w:rsid w:val="00204FB6"/>
    <w:rsid w:val="00205228"/>
    <w:rsid w:val="002100F1"/>
    <w:rsid w:val="002124A1"/>
    <w:rsid w:val="002138C5"/>
    <w:rsid w:val="00213C82"/>
    <w:rsid w:val="002166D2"/>
    <w:rsid w:val="00235E33"/>
    <w:rsid w:val="002363C5"/>
    <w:rsid w:val="00236AD2"/>
    <w:rsid w:val="00240775"/>
    <w:rsid w:val="00242F21"/>
    <w:rsid w:val="00243D2E"/>
    <w:rsid w:val="00243F7E"/>
    <w:rsid w:val="00245402"/>
    <w:rsid w:val="00251AEB"/>
    <w:rsid w:val="0025517A"/>
    <w:rsid w:val="00255ABF"/>
    <w:rsid w:val="00255AC1"/>
    <w:rsid w:val="002570C7"/>
    <w:rsid w:val="00260610"/>
    <w:rsid w:val="00266B55"/>
    <w:rsid w:val="002708BE"/>
    <w:rsid w:val="002722B0"/>
    <w:rsid w:val="002733EC"/>
    <w:rsid w:val="00273CDA"/>
    <w:rsid w:val="00281A40"/>
    <w:rsid w:val="00281F11"/>
    <w:rsid w:val="002845B0"/>
    <w:rsid w:val="00287689"/>
    <w:rsid w:val="002917E5"/>
    <w:rsid w:val="00291F2C"/>
    <w:rsid w:val="002923E3"/>
    <w:rsid w:val="002964CD"/>
    <w:rsid w:val="002978D8"/>
    <w:rsid w:val="002A2476"/>
    <w:rsid w:val="002A4819"/>
    <w:rsid w:val="002A4C48"/>
    <w:rsid w:val="002B0F66"/>
    <w:rsid w:val="002B15F6"/>
    <w:rsid w:val="002B5811"/>
    <w:rsid w:val="002B7346"/>
    <w:rsid w:val="002B7979"/>
    <w:rsid w:val="002C0B05"/>
    <w:rsid w:val="002C100B"/>
    <w:rsid w:val="002C6793"/>
    <w:rsid w:val="002C7A91"/>
    <w:rsid w:val="002D0CDC"/>
    <w:rsid w:val="002D51A5"/>
    <w:rsid w:val="002E4D41"/>
    <w:rsid w:val="002F5B0D"/>
    <w:rsid w:val="003046EB"/>
    <w:rsid w:val="00306B22"/>
    <w:rsid w:val="00307431"/>
    <w:rsid w:val="00307EFF"/>
    <w:rsid w:val="00310EF2"/>
    <w:rsid w:val="00312E51"/>
    <w:rsid w:val="00314212"/>
    <w:rsid w:val="00315CBA"/>
    <w:rsid w:val="00315DC6"/>
    <w:rsid w:val="003162FB"/>
    <w:rsid w:val="00317CEC"/>
    <w:rsid w:val="0032129B"/>
    <w:rsid w:val="00323CD7"/>
    <w:rsid w:val="00327001"/>
    <w:rsid w:val="00331F6A"/>
    <w:rsid w:val="00333E99"/>
    <w:rsid w:val="00334DAD"/>
    <w:rsid w:val="00340BB1"/>
    <w:rsid w:val="00342208"/>
    <w:rsid w:val="00342C49"/>
    <w:rsid w:val="00343604"/>
    <w:rsid w:val="00344192"/>
    <w:rsid w:val="0034533F"/>
    <w:rsid w:val="00345615"/>
    <w:rsid w:val="00346B7B"/>
    <w:rsid w:val="00347569"/>
    <w:rsid w:val="003502F6"/>
    <w:rsid w:val="003519A9"/>
    <w:rsid w:val="00352D30"/>
    <w:rsid w:val="00352F7D"/>
    <w:rsid w:val="003541F2"/>
    <w:rsid w:val="00356D0A"/>
    <w:rsid w:val="0036661E"/>
    <w:rsid w:val="00366FBB"/>
    <w:rsid w:val="0036768F"/>
    <w:rsid w:val="00375B77"/>
    <w:rsid w:val="00375E83"/>
    <w:rsid w:val="00377901"/>
    <w:rsid w:val="00383532"/>
    <w:rsid w:val="003850A2"/>
    <w:rsid w:val="003873F8"/>
    <w:rsid w:val="00393F88"/>
    <w:rsid w:val="00394CDA"/>
    <w:rsid w:val="003A1025"/>
    <w:rsid w:val="003A3B7D"/>
    <w:rsid w:val="003A5AF9"/>
    <w:rsid w:val="003A630E"/>
    <w:rsid w:val="003A77D5"/>
    <w:rsid w:val="003A7A2C"/>
    <w:rsid w:val="003B0C36"/>
    <w:rsid w:val="003B1A91"/>
    <w:rsid w:val="003B4AF1"/>
    <w:rsid w:val="003B5B04"/>
    <w:rsid w:val="003B5E7F"/>
    <w:rsid w:val="003C30AD"/>
    <w:rsid w:val="003C5C3F"/>
    <w:rsid w:val="003D230E"/>
    <w:rsid w:val="003D4215"/>
    <w:rsid w:val="003D5E80"/>
    <w:rsid w:val="003D6F1D"/>
    <w:rsid w:val="003D78C9"/>
    <w:rsid w:val="003E0321"/>
    <w:rsid w:val="003F152C"/>
    <w:rsid w:val="003F2DDB"/>
    <w:rsid w:val="003F69F3"/>
    <w:rsid w:val="003F7D96"/>
    <w:rsid w:val="004012E2"/>
    <w:rsid w:val="00410443"/>
    <w:rsid w:val="00411E34"/>
    <w:rsid w:val="00411EBE"/>
    <w:rsid w:val="004127C9"/>
    <w:rsid w:val="00413E28"/>
    <w:rsid w:val="004149B5"/>
    <w:rsid w:val="00415963"/>
    <w:rsid w:val="00422DDA"/>
    <w:rsid w:val="00423AE4"/>
    <w:rsid w:val="00423DB3"/>
    <w:rsid w:val="00424404"/>
    <w:rsid w:val="00424540"/>
    <w:rsid w:val="00424A57"/>
    <w:rsid w:val="00425E30"/>
    <w:rsid w:val="00427595"/>
    <w:rsid w:val="00431493"/>
    <w:rsid w:val="004326D0"/>
    <w:rsid w:val="00436B97"/>
    <w:rsid w:val="004372B2"/>
    <w:rsid w:val="00437B29"/>
    <w:rsid w:val="00440CF4"/>
    <w:rsid w:val="00442CF2"/>
    <w:rsid w:val="00443F89"/>
    <w:rsid w:val="004462E6"/>
    <w:rsid w:val="004477AA"/>
    <w:rsid w:val="00447865"/>
    <w:rsid w:val="00447E2F"/>
    <w:rsid w:val="0045011F"/>
    <w:rsid w:val="0045045C"/>
    <w:rsid w:val="0045121A"/>
    <w:rsid w:val="0045375E"/>
    <w:rsid w:val="004552A4"/>
    <w:rsid w:val="004571AC"/>
    <w:rsid w:val="004635FC"/>
    <w:rsid w:val="00466078"/>
    <w:rsid w:val="00467E20"/>
    <w:rsid w:val="004716D3"/>
    <w:rsid w:val="00472A15"/>
    <w:rsid w:val="00473814"/>
    <w:rsid w:val="00474A33"/>
    <w:rsid w:val="0047524D"/>
    <w:rsid w:val="0048036A"/>
    <w:rsid w:val="004804F3"/>
    <w:rsid w:val="00482B67"/>
    <w:rsid w:val="00482FE9"/>
    <w:rsid w:val="004843E4"/>
    <w:rsid w:val="00484FB6"/>
    <w:rsid w:val="00485BE9"/>
    <w:rsid w:val="004920E9"/>
    <w:rsid w:val="004956DD"/>
    <w:rsid w:val="004A1D09"/>
    <w:rsid w:val="004A50EB"/>
    <w:rsid w:val="004A5471"/>
    <w:rsid w:val="004B08BE"/>
    <w:rsid w:val="004B163F"/>
    <w:rsid w:val="004B212D"/>
    <w:rsid w:val="004B2AB4"/>
    <w:rsid w:val="004B3564"/>
    <w:rsid w:val="004B4706"/>
    <w:rsid w:val="004B5072"/>
    <w:rsid w:val="004B622D"/>
    <w:rsid w:val="004C3CD7"/>
    <w:rsid w:val="004C4F80"/>
    <w:rsid w:val="004C5E5D"/>
    <w:rsid w:val="004D0E63"/>
    <w:rsid w:val="004D3771"/>
    <w:rsid w:val="004D3EFA"/>
    <w:rsid w:val="004D4605"/>
    <w:rsid w:val="004D604D"/>
    <w:rsid w:val="004D7FC4"/>
    <w:rsid w:val="004E096C"/>
    <w:rsid w:val="004E1830"/>
    <w:rsid w:val="004E3AEC"/>
    <w:rsid w:val="004E5A01"/>
    <w:rsid w:val="004F1ABC"/>
    <w:rsid w:val="004F1E7A"/>
    <w:rsid w:val="004F2F2A"/>
    <w:rsid w:val="004F4897"/>
    <w:rsid w:val="0050710B"/>
    <w:rsid w:val="005110EC"/>
    <w:rsid w:val="0051412F"/>
    <w:rsid w:val="00520A8B"/>
    <w:rsid w:val="005214B1"/>
    <w:rsid w:val="00521A6F"/>
    <w:rsid w:val="00521BD3"/>
    <w:rsid w:val="00523BE4"/>
    <w:rsid w:val="00526F2C"/>
    <w:rsid w:val="00527753"/>
    <w:rsid w:val="00533963"/>
    <w:rsid w:val="00533A2F"/>
    <w:rsid w:val="00536421"/>
    <w:rsid w:val="00540E62"/>
    <w:rsid w:val="00543CEB"/>
    <w:rsid w:val="005444C4"/>
    <w:rsid w:val="005465C0"/>
    <w:rsid w:val="005535E6"/>
    <w:rsid w:val="00554304"/>
    <w:rsid w:val="00555AD4"/>
    <w:rsid w:val="005562E9"/>
    <w:rsid w:val="005622DA"/>
    <w:rsid w:val="00562704"/>
    <w:rsid w:val="005643C4"/>
    <w:rsid w:val="00565AD8"/>
    <w:rsid w:val="00565F77"/>
    <w:rsid w:val="00567DE8"/>
    <w:rsid w:val="00571D0A"/>
    <w:rsid w:val="0057476E"/>
    <w:rsid w:val="00581FF6"/>
    <w:rsid w:val="0058346C"/>
    <w:rsid w:val="00584C2A"/>
    <w:rsid w:val="00590B76"/>
    <w:rsid w:val="00590C71"/>
    <w:rsid w:val="00594651"/>
    <w:rsid w:val="00594C30"/>
    <w:rsid w:val="0059528E"/>
    <w:rsid w:val="005954CD"/>
    <w:rsid w:val="005A0503"/>
    <w:rsid w:val="005A2D05"/>
    <w:rsid w:val="005B0466"/>
    <w:rsid w:val="005B63DE"/>
    <w:rsid w:val="005C09B4"/>
    <w:rsid w:val="005C13CE"/>
    <w:rsid w:val="005C3950"/>
    <w:rsid w:val="005C407A"/>
    <w:rsid w:val="005C41AA"/>
    <w:rsid w:val="005C51E7"/>
    <w:rsid w:val="005C6253"/>
    <w:rsid w:val="005C6F56"/>
    <w:rsid w:val="005C7E9A"/>
    <w:rsid w:val="005C7F27"/>
    <w:rsid w:val="005D18A2"/>
    <w:rsid w:val="005D43A7"/>
    <w:rsid w:val="005E180E"/>
    <w:rsid w:val="005E7C08"/>
    <w:rsid w:val="005F1B35"/>
    <w:rsid w:val="005F3373"/>
    <w:rsid w:val="005F4078"/>
    <w:rsid w:val="00605948"/>
    <w:rsid w:val="006077EF"/>
    <w:rsid w:val="00610032"/>
    <w:rsid w:val="00610B94"/>
    <w:rsid w:val="00613F03"/>
    <w:rsid w:val="00621010"/>
    <w:rsid w:val="00631ACF"/>
    <w:rsid w:val="00632383"/>
    <w:rsid w:val="00634785"/>
    <w:rsid w:val="00644F1E"/>
    <w:rsid w:val="00645484"/>
    <w:rsid w:val="006464FC"/>
    <w:rsid w:val="00650806"/>
    <w:rsid w:val="00651433"/>
    <w:rsid w:val="006560C7"/>
    <w:rsid w:val="006572AF"/>
    <w:rsid w:val="00657485"/>
    <w:rsid w:val="00660DF6"/>
    <w:rsid w:val="00660EA4"/>
    <w:rsid w:val="00662752"/>
    <w:rsid w:val="00663188"/>
    <w:rsid w:val="00663346"/>
    <w:rsid w:val="006649DA"/>
    <w:rsid w:val="00664A5B"/>
    <w:rsid w:val="00672B47"/>
    <w:rsid w:val="00673ECC"/>
    <w:rsid w:val="00674A12"/>
    <w:rsid w:val="00674BF8"/>
    <w:rsid w:val="00675D0C"/>
    <w:rsid w:val="006774FD"/>
    <w:rsid w:val="00677C62"/>
    <w:rsid w:val="00680A2B"/>
    <w:rsid w:val="0068103D"/>
    <w:rsid w:val="00682F30"/>
    <w:rsid w:val="0068674B"/>
    <w:rsid w:val="006869E6"/>
    <w:rsid w:val="006874FA"/>
    <w:rsid w:val="006939B5"/>
    <w:rsid w:val="00695DA1"/>
    <w:rsid w:val="006A1DD4"/>
    <w:rsid w:val="006A392B"/>
    <w:rsid w:val="006A5577"/>
    <w:rsid w:val="006B41C6"/>
    <w:rsid w:val="006B5E49"/>
    <w:rsid w:val="006B7967"/>
    <w:rsid w:val="006C2ADC"/>
    <w:rsid w:val="006C4803"/>
    <w:rsid w:val="006D2AFC"/>
    <w:rsid w:val="006D7BAE"/>
    <w:rsid w:val="006E0669"/>
    <w:rsid w:val="006E08A5"/>
    <w:rsid w:val="006E289A"/>
    <w:rsid w:val="006E63DD"/>
    <w:rsid w:val="006E676C"/>
    <w:rsid w:val="006F0483"/>
    <w:rsid w:val="007002A3"/>
    <w:rsid w:val="00710B54"/>
    <w:rsid w:val="00710B6E"/>
    <w:rsid w:val="00712065"/>
    <w:rsid w:val="00716C48"/>
    <w:rsid w:val="00723654"/>
    <w:rsid w:val="007236AE"/>
    <w:rsid w:val="00726880"/>
    <w:rsid w:val="00730224"/>
    <w:rsid w:val="0073219B"/>
    <w:rsid w:val="00735A88"/>
    <w:rsid w:val="00737F08"/>
    <w:rsid w:val="007444C1"/>
    <w:rsid w:val="007518EB"/>
    <w:rsid w:val="007543D7"/>
    <w:rsid w:val="00755D4D"/>
    <w:rsid w:val="00756B81"/>
    <w:rsid w:val="0076001B"/>
    <w:rsid w:val="00764F58"/>
    <w:rsid w:val="00766FD9"/>
    <w:rsid w:val="00772BE2"/>
    <w:rsid w:val="0077301F"/>
    <w:rsid w:val="00773F87"/>
    <w:rsid w:val="0078020F"/>
    <w:rsid w:val="0078187E"/>
    <w:rsid w:val="00784EB0"/>
    <w:rsid w:val="00786934"/>
    <w:rsid w:val="00787652"/>
    <w:rsid w:val="00791848"/>
    <w:rsid w:val="00793FA0"/>
    <w:rsid w:val="00794660"/>
    <w:rsid w:val="007946D7"/>
    <w:rsid w:val="00794AA9"/>
    <w:rsid w:val="00797535"/>
    <w:rsid w:val="007A047A"/>
    <w:rsid w:val="007A0E1D"/>
    <w:rsid w:val="007A777F"/>
    <w:rsid w:val="007A78B1"/>
    <w:rsid w:val="007B0821"/>
    <w:rsid w:val="007B0D0A"/>
    <w:rsid w:val="007B1465"/>
    <w:rsid w:val="007B3ED4"/>
    <w:rsid w:val="007B5113"/>
    <w:rsid w:val="007C473E"/>
    <w:rsid w:val="007C4EC7"/>
    <w:rsid w:val="007D5C5E"/>
    <w:rsid w:val="007D5DD5"/>
    <w:rsid w:val="007E03B6"/>
    <w:rsid w:val="007E0659"/>
    <w:rsid w:val="007E142E"/>
    <w:rsid w:val="007E2311"/>
    <w:rsid w:val="007E457C"/>
    <w:rsid w:val="007E46D7"/>
    <w:rsid w:val="007E4C93"/>
    <w:rsid w:val="007E5421"/>
    <w:rsid w:val="007E60A2"/>
    <w:rsid w:val="007F4C21"/>
    <w:rsid w:val="007F5538"/>
    <w:rsid w:val="007F5EF1"/>
    <w:rsid w:val="00800178"/>
    <w:rsid w:val="0080072C"/>
    <w:rsid w:val="0080556D"/>
    <w:rsid w:val="00813D44"/>
    <w:rsid w:val="008164B4"/>
    <w:rsid w:val="00816B56"/>
    <w:rsid w:val="00817868"/>
    <w:rsid w:val="00821A8C"/>
    <w:rsid w:val="00823E76"/>
    <w:rsid w:val="008247EA"/>
    <w:rsid w:val="00824A03"/>
    <w:rsid w:val="00835938"/>
    <w:rsid w:val="008363FE"/>
    <w:rsid w:val="00840C7D"/>
    <w:rsid w:val="00843A58"/>
    <w:rsid w:val="008456A7"/>
    <w:rsid w:val="00845763"/>
    <w:rsid w:val="00847A25"/>
    <w:rsid w:val="0085455F"/>
    <w:rsid w:val="00857CE4"/>
    <w:rsid w:val="0086292E"/>
    <w:rsid w:val="00863863"/>
    <w:rsid w:val="00871ECE"/>
    <w:rsid w:val="00877201"/>
    <w:rsid w:val="008773DA"/>
    <w:rsid w:val="008776AA"/>
    <w:rsid w:val="00880EA2"/>
    <w:rsid w:val="00884E44"/>
    <w:rsid w:val="00887F71"/>
    <w:rsid w:val="008974F5"/>
    <w:rsid w:val="008A2BAB"/>
    <w:rsid w:val="008A4CCD"/>
    <w:rsid w:val="008A528F"/>
    <w:rsid w:val="008A769F"/>
    <w:rsid w:val="008B0C4D"/>
    <w:rsid w:val="008B2CEB"/>
    <w:rsid w:val="008B2DDC"/>
    <w:rsid w:val="008B6C16"/>
    <w:rsid w:val="008C0330"/>
    <w:rsid w:val="008C17B2"/>
    <w:rsid w:val="008C1C24"/>
    <w:rsid w:val="008C618B"/>
    <w:rsid w:val="008D1398"/>
    <w:rsid w:val="008D24D0"/>
    <w:rsid w:val="008D4CEE"/>
    <w:rsid w:val="008D4DC0"/>
    <w:rsid w:val="008E3503"/>
    <w:rsid w:val="008E372A"/>
    <w:rsid w:val="008E5703"/>
    <w:rsid w:val="008E5A6A"/>
    <w:rsid w:val="008F12D9"/>
    <w:rsid w:val="008F3367"/>
    <w:rsid w:val="00903A09"/>
    <w:rsid w:val="00905E53"/>
    <w:rsid w:val="00907066"/>
    <w:rsid w:val="00907572"/>
    <w:rsid w:val="00910F94"/>
    <w:rsid w:val="00911BDB"/>
    <w:rsid w:val="0091214E"/>
    <w:rsid w:val="00912BC3"/>
    <w:rsid w:val="009132C8"/>
    <w:rsid w:val="009143BA"/>
    <w:rsid w:val="0091621C"/>
    <w:rsid w:val="00917AF7"/>
    <w:rsid w:val="00920DEB"/>
    <w:rsid w:val="0092571C"/>
    <w:rsid w:val="00925A45"/>
    <w:rsid w:val="009356AC"/>
    <w:rsid w:val="009412EE"/>
    <w:rsid w:val="0094328D"/>
    <w:rsid w:val="00943E34"/>
    <w:rsid w:val="0094476E"/>
    <w:rsid w:val="009455C4"/>
    <w:rsid w:val="0094752E"/>
    <w:rsid w:val="009475ED"/>
    <w:rsid w:val="0095014C"/>
    <w:rsid w:val="00950A80"/>
    <w:rsid w:val="0095765F"/>
    <w:rsid w:val="009612A9"/>
    <w:rsid w:val="00961E5E"/>
    <w:rsid w:val="0096276C"/>
    <w:rsid w:val="00964879"/>
    <w:rsid w:val="0096536F"/>
    <w:rsid w:val="00967AFE"/>
    <w:rsid w:val="00971546"/>
    <w:rsid w:val="009744DE"/>
    <w:rsid w:val="009777D9"/>
    <w:rsid w:val="00982998"/>
    <w:rsid w:val="00984677"/>
    <w:rsid w:val="009878B8"/>
    <w:rsid w:val="009911D5"/>
    <w:rsid w:val="009915B6"/>
    <w:rsid w:val="00993010"/>
    <w:rsid w:val="00994313"/>
    <w:rsid w:val="009945EB"/>
    <w:rsid w:val="00995D2E"/>
    <w:rsid w:val="0099655F"/>
    <w:rsid w:val="009A13BC"/>
    <w:rsid w:val="009A1A3B"/>
    <w:rsid w:val="009A1F6E"/>
    <w:rsid w:val="009A2FA2"/>
    <w:rsid w:val="009A3347"/>
    <w:rsid w:val="009A4483"/>
    <w:rsid w:val="009A6DC9"/>
    <w:rsid w:val="009B5107"/>
    <w:rsid w:val="009B7179"/>
    <w:rsid w:val="009C371E"/>
    <w:rsid w:val="009C4860"/>
    <w:rsid w:val="009C4F83"/>
    <w:rsid w:val="009C5C91"/>
    <w:rsid w:val="009C7905"/>
    <w:rsid w:val="009C7E48"/>
    <w:rsid w:val="009D2D5C"/>
    <w:rsid w:val="009D74D1"/>
    <w:rsid w:val="009D7538"/>
    <w:rsid w:val="009E610F"/>
    <w:rsid w:val="009E65B5"/>
    <w:rsid w:val="009F276F"/>
    <w:rsid w:val="009F4163"/>
    <w:rsid w:val="009F6C3A"/>
    <w:rsid w:val="009F71DB"/>
    <w:rsid w:val="009F7B21"/>
    <w:rsid w:val="00A00A19"/>
    <w:rsid w:val="00A028CA"/>
    <w:rsid w:val="00A04574"/>
    <w:rsid w:val="00A14E8B"/>
    <w:rsid w:val="00A175CA"/>
    <w:rsid w:val="00A22290"/>
    <w:rsid w:val="00A22C12"/>
    <w:rsid w:val="00A22ED2"/>
    <w:rsid w:val="00A271C7"/>
    <w:rsid w:val="00A27B01"/>
    <w:rsid w:val="00A30635"/>
    <w:rsid w:val="00A336CC"/>
    <w:rsid w:val="00A4070E"/>
    <w:rsid w:val="00A438A3"/>
    <w:rsid w:val="00A56FA4"/>
    <w:rsid w:val="00A579CE"/>
    <w:rsid w:val="00A60FB0"/>
    <w:rsid w:val="00A624A0"/>
    <w:rsid w:val="00A62B2F"/>
    <w:rsid w:val="00A63B43"/>
    <w:rsid w:val="00A64981"/>
    <w:rsid w:val="00A71E0C"/>
    <w:rsid w:val="00A7318E"/>
    <w:rsid w:val="00A7329E"/>
    <w:rsid w:val="00A73746"/>
    <w:rsid w:val="00A76C33"/>
    <w:rsid w:val="00A776E8"/>
    <w:rsid w:val="00A77E54"/>
    <w:rsid w:val="00A80605"/>
    <w:rsid w:val="00A81B1F"/>
    <w:rsid w:val="00A81C66"/>
    <w:rsid w:val="00A90198"/>
    <w:rsid w:val="00A90EA9"/>
    <w:rsid w:val="00A9207C"/>
    <w:rsid w:val="00A92191"/>
    <w:rsid w:val="00A92CA3"/>
    <w:rsid w:val="00A940E9"/>
    <w:rsid w:val="00A97802"/>
    <w:rsid w:val="00AA1451"/>
    <w:rsid w:val="00AA14A0"/>
    <w:rsid w:val="00AA2A03"/>
    <w:rsid w:val="00AA2AE2"/>
    <w:rsid w:val="00AA3730"/>
    <w:rsid w:val="00AA57AD"/>
    <w:rsid w:val="00AA7193"/>
    <w:rsid w:val="00AB05FB"/>
    <w:rsid w:val="00AB2061"/>
    <w:rsid w:val="00AB2918"/>
    <w:rsid w:val="00AB77EB"/>
    <w:rsid w:val="00AC7C14"/>
    <w:rsid w:val="00AE2AFA"/>
    <w:rsid w:val="00AE2E8F"/>
    <w:rsid w:val="00AE38CF"/>
    <w:rsid w:val="00AE3FC5"/>
    <w:rsid w:val="00AE4961"/>
    <w:rsid w:val="00AF02BD"/>
    <w:rsid w:val="00AF24DC"/>
    <w:rsid w:val="00AF4BB7"/>
    <w:rsid w:val="00AF5465"/>
    <w:rsid w:val="00AF588C"/>
    <w:rsid w:val="00AF5B64"/>
    <w:rsid w:val="00AF5D0C"/>
    <w:rsid w:val="00AF5E43"/>
    <w:rsid w:val="00AF5FC8"/>
    <w:rsid w:val="00AF6975"/>
    <w:rsid w:val="00AF7FB3"/>
    <w:rsid w:val="00B01300"/>
    <w:rsid w:val="00B01B42"/>
    <w:rsid w:val="00B05FF4"/>
    <w:rsid w:val="00B07AFA"/>
    <w:rsid w:val="00B167F4"/>
    <w:rsid w:val="00B1774B"/>
    <w:rsid w:val="00B17BD6"/>
    <w:rsid w:val="00B22D0B"/>
    <w:rsid w:val="00B23EDE"/>
    <w:rsid w:val="00B24134"/>
    <w:rsid w:val="00B25467"/>
    <w:rsid w:val="00B257D1"/>
    <w:rsid w:val="00B35ACC"/>
    <w:rsid w:val="00B37772"/>
    <w:rsid w:val="00B429B9"/>
    <w:rsid w:val="00B42C3D"/>
    <w:rsid w:val="00B44A54"/>
    <w:rsid w:val="00B44F4A"/>
    <w:rsid w:val="00B45773"/>
    <w:rsid w:val="00B45B86"/>
    <w:rsid w:val="00B47D06"/>
    <w:rsid w:val="00B52D7E"/>
    <w:rsid w:val="00B55D54"/>
    <w:rsid w:val="00B631CF"/>
    <w:rsid w:val="00B632D7"/>
    <w:rsid w:val="00B63A74"/>
    <w:rsid w:val="00B64F1A"/>
    <w:rsid w:val="00B67934"/>
    <w:rsid w:val="00B74B74"/>
    <w:rsid w:val="00B7734D"/>
    <w:rsid w:val="00B77D68"/>
    <w:rsid w:val="00B80A44"/>
    <w:rsid w:val="00B8297A"/>
    <w:rsid w:val="00B838DF"/>
    <w:rsid w:val="00B86492"/>
    <w:rsid w:val="00B90362"/>
    <w:rsid w:val="00B9214F"/>
    <w:rsid w:val="00B9370B"/>
    <w:rsid w:val="00B93A3E"/>
    <w:rsid w:val="00B95852"/>
    <w:rsid w:val="00B97ADE"/>
    <w:rsid w:val="00BA2DDD"/>
    <w:rsid w:val="00BA4EEA"/>
    <w:rsid w:val="00BA56F8"/>
    <w:rsid w:val="00BB1322"/>
    <w:rsid w:val="00BB2F4A"/>
    <w:rsid w:val="00BB3132"/>
    <w:rsid w:val="00BB3306"/>
    <w:rsid w:val="00BB5D52"/>
    <w:rsid w:val="00BB6094"/>
    <w:rsid w:val="00BC1C60"/>
    <w:rsid w:val="00BC3CCC"/>
    <w:rsid w:val="00BC42BE"/>
    <w:rsid w:val="00BD25A0"/>
    <w:rsid w:val="00BD38BE"/>
    <w:rsid w:val="00BE6726"/>
    <w:rsid w:val="00BF185C"/>
    <w:rsid w:val="00BF190D"/>
    <w:rsid w:val="00BF2DEB"/>
    <w:rsid w:val="00BF7177"/>
    <w:rsid w:val="00C013B6"/>
    <w:rsid w:val="00C028FD"/>
    <w:rsid w:val="00C02F2C"/>
    <w:rsid w:val="00C033F2"/>
    <w:rsid w:val="00C0362B"/>
    <w:rsid w:val="00C14771"/>
    <w:rsid w:val="00C147F0"/>
    <w:rsid w:val="00C21C30"/>
    <w:rsid w:val="00C26BFD"/>
    <w:rsid w:val="00C26C0F"/>
    <w:rsid w:val="00C26C53"/>
    <w:rsid w:val="00C274AD"/>
    <w:rsid w:val="00C27AB0"/>
    <w:rsid w:val="00C27E23"/>
    <w:rsid w:val="00C31077"/>
    <w:rsid w:val="00C35520"/>
    <w:rsid w:val="00C368C2"/>
    <w:rsid w:val="00C40A39"/>
    <w:rsid w:val="00C431A8"/>
    <w:rsid w:val="00C43E85"/>
    <w:rsid w:val="00C47671"/>
    <w:rsid w:val="00C47704"/>
    <w:rsid w:val="00C50913"/>
    <w:rsid w:val="00C52143"/>
    <w:rsid w:val="00C52408"/>
    <w:rsid w:val="00C55366"/>
    <w:rsid w:val="00C63999"/>
    <w:rsid w:val="00C74289"/>
    <w:rsid w:val="00C74B0B"/>
    <w:rsid w:val="00C74DB1"/>
    <w:rsid w:val="00C77432"/>
    <w:rsid w:val="00C865E2"/>
    <w:rsid w:val="00C86B75"/>
    <w:rsid w:val="00C91A37"/>
    <w:rsid w:val="00C941CA"/>
    <w:rsid w:val="00C9444D"/>
    <w:rsid w:val="00C946B5"/>
    <w:rsid w:val="00C957CF"/>
    <w:rsid w:val="00C95EA8"/>
    <w:rsid w:val="00C97A34"/>
    <w:rsid w:val="00C97A3F"/>
    <w:rsid w:val="00CA20AE"/>
    <w:rsid w:val="00CA2FF5"/>
    <w:rsid w:val="00CA577D"/>
    <w:rsid w:val="00CA7442"/>
    <w:rsid w:val="00CB3495"/>
    <w:rsid w:val="00CC0DB7"/>
    <w:rsid w:val="00CC109C"/>
    <w:rsid w:val="00CC68A4"/>
    <w:rsid w:val="00CD11D2"/>
    <w:rsid w:val="00CD15B7"/>
    <w:rsid w:val="00CD1780"/>
    <w:rsid w:val="00CD1A11"/>
    <w:rsid w:val="00CD2197"/>
    <w:rsid w:val="00CD682A"/>
    <w:rsid w:val="00CE4C32"/>
    <w:rsid w:val="00CE4D5F"/>
    <w:rsid w:val="00CE66A5"/>
    <w:rsid w:val="00CF085D"/>
    <w:rsid w:val="00CF0884"/>
    <w:rsid w:val="00CF121F"/>
    <w:rsid w:val="00CF3292"/>
    <w:rsid w:val="00CF510E"/>
    <w:rsid w:val="00CF5A44"/>
    <w:rsid w:val="00D0749F"/>
    <w:rsid w:val="00D1035F"/>
    <w:rsid w:val="00D11B4C"/>
    <w:rsid w:val="00D15CF4"/>
    <w:rsid w:val="00D210A1"/>
    <w:rsid w:val="00D35595"/>
    <w:rsid w:val="00D40644"/>
    <w:rsid w:val="00D448E8"/>
    <w:rsid w:val="00D4531A"/>
    <w:rsid w:val="00D464D0"/>
    <w:rsid w:val="00D51D9B"/>
    <w:rsid w:val="00D53004"/>
    <w:rsid w:val="00D568ED"/>
    <w:rsid w:val="00D56FE1"/>
    <w:rsid w:val="00D5710D"/>
    <w:rsid w:val="00D57470"/>
    <w:rsid w:val="00D5793A"/>
    <w:rsid w:val="00D62CB8"/>
    <w:rsid w:val="00D64365"/>
    <w:rsid w:val="00D672EF"/>
    <w:rsid w:val="00D73030"/>
    <w:rsid w:val="00D74735"/>
    <w:rsid w:val="00D76E0A"/>
    <w:rsid w:val="00D805E1"/>
    <w:rsid w:val="00D80F13"/>
    <w:rsid w:val="00D818AB"/>
    <w:rsid w:val="00D846E4"/>
    <w:rsid w:val="00D95463"/>
    <w:rsid w:val="00D95FD2"/>
    <w:rsid w:val="00D964E6"/>
    <w:rsid w:val="00DA0D76"/>
    <w:rsid w:val="00DA1C07"/>
    <w:rsid w:val="00DA3A15"/>
    <w:rsid w:val="00DA73DF"/>
    <w:rsid w:val="00DB04CE"/>
    <w:rsid w:val="00DB56A3"/>
    <w:rsid w:val="00DC039E"/>
    <w:rsid w:val="00DC1B70"/>
    <w:rsid w:val="00DC3579"/>
    <w:rsid w:val="00DD235E"/>
    <w:rsid w:val="00DD5C22"/>
    <w:rsid w:val="00DE1B69"/>
    <w:rsid w:val="00DE3B40"/>
    <w:rsid w:val="00DE55FB"/>
    <w:rsid w:val="00DE5C47"/>
    <w:rsid w:val="00DF0B3F"/>
    <w:rsid w:val="00DF1139"/>
    <w:rsid w:val="00DF492C"/>
    <w:rsid w:val="00E02585"/>
    <w:rsid w:val="00E04A2F"/>
    <w:rsid w:val="00E06478"/>
    <w:rsid w:val="00E07314"/>
    <w:rsid w:val="00E17488"/>
    <w:rsid w:val="00E17720"/>
    <w:rsid w:val="00E24576"/>
    <w:rsid w:val="00E2653E"/>
    <w:rsid w:val="00E30931"/>
    <w:rsid w:val="00E32468"/>
    <w:rsid w:val="00E37603"/>
    <w:rsid w:val="00E4191A"/>
    <w:rsid w:val="00E50BDA"/>
    <w:rsid w:val="00E517AF"/>
    <w:rsid w:val="00E55CFA"/>
    <w:rsid w:val="00E5615B"/>
    <w:rsid w:val="00E624B5"/>
    <w:rsid w:val="00E626E5"/>
    <w:rsid w:val="00E63BD0"/>
    <w:rsid w:val="00E664A5"/>
    <w:rsid w:val="00E70C05"/>
    <w:rsid w:val="00E821C3"/>
    <w:rsid w:val="00E82772"/>
    <w:rsid w:val="00E82C32"/>
    <w:rsid w:val="00E84651"/>
    <w:rsid w:val="00E8569B"/>
    <w:rsid w:val="00E87311"/>
    <w:rsid w:val="00E87D67"/>
    <w:rsid w:val="00E908AF"/>
    <w:rsid w:val="00E92CE8"/>
    <w:rsid w:val="00E952EF"/>
    <w:rsid w:val="00EA22AC"/>
    <w:rsid w:val="00EA498C"/>
    <w:rsid w:val="00EA7C33"/>
    <w:rsid w:val="00EB03EC"/>
    <w:rsid w:val="00EB44CD"/>
    <w:rsid w:val="00EB6BB1"/>
    <w:rsid w:val="00EC52B2"/>
    <w:rsid w:val="00EC72F5"/>
    <w:rsid w:val="00ED1948"/>
    <w:rsid w:val="00ED5C78"/>
    <w:rsid w:val="00EE0935"/>
    <w:rsid w:val="00EE268C"/>
    <w:rsid w:val="00EF1E1D"/>
    <w:rsid w:val="00EF6B1D"/>
    <w:rsid w:val="00F00E4D"/>
    <w:rsid w:val="00F04174"/>
    <w:rsid w:val="00F05DEA"/>
    <w:rsid w:val="00F119A9"/>
    <w:rsid w:val="00F12041"/>
    <w:rsid w:val="00F12847"/>
    <w:rsid w:val="00F13536"/>
    <w:rsid w:val="00F13CE7"/>
    <w:rsid w:val="00F147F4"/>
    <w:rsid w:val="00F15098"/>
    <w:rsid w:val="00F17A2E"/>
    <w:rsid w:val="00F17C4E"/>
    <w:rsid w:val="00F20E73"/>
    <w:rsid w:val="00F20F47"/>
    <w:rsid w:val="00F21727"/>
    <w:rsid w:val="00F27529"/>
    <w:rsid w:val="00F279F8"/>
    <w:rsid w:val="00F27CC9"/>
    <w:rsid w:val="00F30746"/>
    <w:rsid w:val="00F3188B"/>
    <w:rsid w:val="00F36672"/>
    <w:rsid w:val="00F37458"/>
    <w:rsid w:val="00F37CC1"/>
    <w:rsid w:val="00F41155"/>
    <w:rsid w:val="00F41F5D"/>
    <w:rsid w:val="00F42360"/>
    <w:rsid w:val="00F459DB"/>
    <w:rsid w:val="00F502BE"/>
    <w:rsid w:val="00F50599"/>
    <w:rsid w:val="00F51F83"/>
    <w:rsid w:val="00F5316F"/>
    <w:rsid w:val="00F56C58"/>
    <w:rsid w:val="00F6610B"/>
    <w:rsid w:val="00F671D1"/>
    <w:rsid w:val="00F72364"/>
    <w:rsid w:val="00F73016"/>
    <w:rsid w:val="00F74688"/>
    <w:rsid w:val="00F757A7"/>
    <w:rsid w:val="00F80068"/>
    <w:rsid w:val="00F824B1"/>
    <w:rsid w:val="00F8494B"/>
    <w:rsid w:val="00F92186"/>
    <w:rsid w:val="00FA1A8B"/>
    <w:rsid w:val="00FA7052"/>
    <w:rsid w:val="00FB2FFD"/>
    <w:rsid w:val="00FB3AB6"/>
    <w:rsid w:val="00FC1C96"/>
    <w:rsid w:val="00FC29D0"/>
    <w:rsid w:val="00FC4535"/>
    <w:rsid w:val="00FC46FC"/>
    <w:rsid w:val="00FC7E60"/>
    <w:rsid w:val="00FD02A1"/>
    <w:rsid w:val="00FD1F8A"/>
    <w:rsid w:val="00FD5C87"/>
    <w:rsid w:val="00FD6A2A"/>
    <w:rsid w:val="00FE13BC"/>
    <w:rsid w:val="00FE4165"/>
    <w:rsid w:val="00FE4A17"/>
    <w:rsid w:val="00FE5F51"/>
    <w:rsid w:val="00FE7D32"/>
    <w:rsid w:val="00FF1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41"/>
    <o:shapelayout v:ext="edit">
      <o:idmap v:ext="edit" data="1"/>
    </o:shapelayout>
  </w:shapeDefaults>
  <w:decimalSymbol w:val=","/>
  <w:listSeparator w:val=";"/>
  <w14:docId w14:val="64D14911"/>
  <w15:docId w15:val="{5D746704-08DE-44D8-8FFD-145E0CD6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CD7"/>
  </w:style>
  <w:style w:type="paragraph" w:styleId="Heading1">
    <w:name w:val="heading 1"/>
    <w:basedOn w:val="Normal"/>
    <w:next w:val="Normal"/>
    <w:link w:val="Heading1Char"/>
    <w:uiPriority w:val="9"/>
    <w:qFormat/>
    <w:rsid w:val="00437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B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7B29"/>
  </w:style>
  <w:style w:type="paragraph" w:styleId="Footer">
    <w:name w:val="footer"/>
    <w:basedOn w:val="Normal"/>
    <w:link w:val="FooterChar"/>
    <w:uiPriority w:val="99"/>
    <w:unhideWhenUsed/>
    <w:rsid w:val="00437B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B29"/>
  </w:style>
  <w:style w:type="paragraph" w:styleId="BalloonText">
    <w:name w:val="Balloon Text"/>
    <w:basedOn w:val="Normal"/>
    <w:link w:val="BalloonTextChar"/>
    <w:uiPriority w:val="99"/>
    <w:semiHidden/>
    <w:unhideWhenUsed/>
    <w:rsid w:val="0043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B29"/>
    <w:rPr>
      <w:rFonts w:ascii="Tahoma" w:hAnsi="Tahoma" w:cs="Tahoma"/>
      <w:sz w:val="16"/>
      <w:szCs w:val="16"/>
    </w:rPr>
  </w:style>
  <w:style w:type="paragraph" w:styleId="Title">
    <w:name w:val="Title"/>
    <w:basedOn w:val="Normal"/>
    <w:next w:val="Normal"/>
    <w:link w:val="TitleChar"/>
    <w:uiPriority w:val="10"/>
    <w:qFormat/>
    <w:rsid w:val="008E3503"/>
    <w:pPr>
      <w:pBdr>
        <w:bottom w:val="single" w:sz="8" w:space="4" w:color="4F81BD" w:themeColor="accent1"/>
      </w:pBdr>
      <w:spacing w:after="300" w:line="240" w:lineRule="auto"/>
      <w:contextualSpacing/>
    </w:pPr>
    <w:rPr>
      <w:rFonts w:asciiTheme="majorHAnsi" w:eastAsiaTheme="majorEastAsia" w:hAnsiTheme="majorHAnsi" w:cstheme="majorBidi"/>
      <w:color w:val="365F91" w:themeColor="accent1" w:themeShade="BF"/>
      <w:spacing w:val="5"/>
      <w:kern w:val="28"/>
      <w:sz w:val="48"/>
      <w:szCs w:val="52"/>
      <w:lang w:val="en-US"/>
    </w:rPr>
  </w:style>
  <w:style w:type="character" w:customStyle="1" w:styleId="TitleChar">
    <w:name w:val="Title Char"/>
    <w:basedOn w:val="DefaultParagraphFont"/>
    <w:link w:val="Title"/>
    <w:uiPriority w:val="10"/>
    <w:rsid w:val="008E3503"/>
    <w:rPr>
      <w:rFonts w:asciiTheme="majorHAnsi" w:eastAsiaTheme="majorEastAsia" w:hAnsiTheme="majorHAnsi" w:cstheme="majorBidi"/>
      <w:color w:val="365F91" w:themeColor="accent1" w:themeShade="BF"/>
      <w:spacing w:val="5"/>
      <w:kern w:val="28"/>
      <w:sz w:val="48"/>
      <w:szCs w:val="52"/>
      <w:lang w:val="en-US"/>
    </w:rPr>
  </w:style>
  <w:style w:type="character" w:customStyle="1" w:styleId="Heading1Char">
    <w:name w:val="Heading 1 Char"/>
    <w:basedOn w:val="DefaultParagraphFont"/>
    <w:link w:val="Heading1"/>
    <w:uiPriority w:val="9"/>
    <w:rsid w:val="00437B2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7B29"/>
    <w:rPr>
      <w:color w:val="0000FF" w:themeColor="hyperlink"/>
      <w:u w:val="single"/>
    </w:rPr>
  </w:style>
  <w:style w:type="table" w:styleId="TableGrid">
    <w:name w:val="Table Grid"/>
    <w:basedOn w:val="TableNormal"/>
    <w:uiPriority w:val="59"/>
    <w:rsid w:val="0043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4611">
      <w:bodyDiv w:val="1"/>
      <w:marLeft w:val="0"/>
      <w:marRight w:val="0"/>
      <w:marTop w:val="0"/>
      <w:marBottom w:val="0"/>
      <w:divBdr>
        <w:top w:val="none" w:sz="0" w:space="0" w:color="auto"/>
        <w:left w:val="none" w:sz="0" w:space="0" w:color="auto"/>
        <w:bottom w:val="none" w:sz="0" w:space="0" w:color="auto"/>
        <w:right w:val="none" w:sz="0" w:space="0" w:color="auto"/>
      </w:divBdr>
    </w:div>
    <w:div w:id="125243569">
      <w:bodyDiv w:val="1"/>
      <w:marLeft w:val="0"/>
      <w:marRight w:val="0"/>
      <w:marTop w:val="0"/>
      <w:marBottom w:val="0"/>
      <w:divBdr>
        <w:top w:val="none" w:sz="0" w:space="0" w:color="auto"/>
        <w:left w:val="none" w:sz="0" w:space="0" w:color="auto"/>
        <w:bottom w:val="none" w:sz="0" w:space="0" w:color="auto"/>
        <w:right w:val="none" w:sz="0" w:space="0" w:color="auto"/>
      </w:divBdr>
    </w:div>
    <w:div w:id="558784411">
      <w:bodyDiv w:val="1"/>
      <w:marLeft w:val="0"/>
      <w:marRight w:val="0"/>
      <w:marTop w:val="0"/>
      <w:marBottom w:val="0"/>
      <w:divBdr>
        <w:top w:val="none" w:sz="0" w:space="0" w:color="auto"/>
        <w:left w:val="none" w:sz="0" w:space="0" w:color="auto"/>
        <w:bottom w:val="none" w:sz="0" w:space="0" w:color="auto"/>
        <w:right w:val="none" w:sz="0" w:space="0" w:color="auto"/>
      </w:divBdr>
    </w:div>
    <w:div w:id="925500890">
      <w:bodyDiv w:val="1"/>
      <w:marLeft w:val="0"/>
      <w:marRight w:val="0"/>
      <w:marTop w:val="0"/>
      <w:marBottom w:val="0"/>
      <w:divBdr>
        <w:top w:val="none" w:sz="0" w:space="0" w:color="auto"/>
        <w:left w:val="none" w:sz="0" w:space="0" w:color="auto"/>
        <w:bottom w:val="none" w:sz="0" w:space="0" w:color="auto"/>
        <w:right w:val="none" w:sz="0" w:space="0" w:color="auto"/>
      </w:divBdr>
    </w:div>
    <w:div w:id="1076631806">
      <w:bodyDiv w:val="1"/>
      <w:marLeft w:val="0"/>
      <w:marRight w:val="0"/>
      <w:marTop w:val="0"/>
      <w:marBottom w:val="0"/>
      <w:divBdr>
        <w:top w:val="none" w:sz="0" w:space="0" w:color="auto"/>
        <w:left w:val="none" w:sz="0" w:space="0" w:color="auto"/>
        <w:bottom w:val="none" w:sz="0" w:space="0" w:color="auto"/>
        <w:right w:val="none" w:sz="0" w:space="0" w:color="auto"/>
      </w:divBdr>
    </w:div>
    <w:div w:id="1204749673">
      <w:bodyDiv w:val="1"/>
      <w:marLeft w:val="0"/>
      <w:marRight w:val="0"/>
      <w:marTop w:val="0"/>
      <w:marBottom w:val="0"/>
      <w:divBdr>
        <w:top w:val="none" w:sz="0" w:space="0" w:color="auto"/>
        <w:left w:val="none" w:sz="0" w:space="0" w:color="auto"/>
        <w:bottom w:val="none" w:sz="0" w:space="0" w:color="auto"/>
        <w:right w:val="none" w:sz="0" w:space="0" w:color="auto"/>
      </w:divBdr>
    </w:div>
    <w:div w:id="1272858551">
      <w:bodyDiv w:val="1"/>
      <w:marLeft w:val="0"/>
      <w:marRight w:val="0"/>
      <w:marTop w:val="0"/>
      <w:marBottom w:val="0"/>
      <w:divBdr>
        <w:top w:val="none" w:sz="0" w:space="0" w:color="auto"/>
        <w:left w:val="none" w:sz="0" w:space="0" w:color="auto"/>
        <w:bottom w:val="none" w:sz="0" w:space="0" w:color="auto"/>
        <w:right w:val="none" w:sz="0" w:space="0" w:color="auto"/>
      </w:divBdr>
    </w:div>
    <w:div w:id="1408499984">
      <w:bodyDiv w:val="1"/>
      <w:marLeft w:val="0"/>
      <w:marRight w:val="0"/>
      <w:marTop w:val="0"/>
      <w:marBottom w:val="0"/>
      <w:divBdr>
        <w:top w:val="none" w:sz="0" w:space="0" w:color="auto"/>
        <w:left w:val="none" w:sz="0" w:space="0" w:color="auto"/>
        <w:bottom w:val="none" w:sz="0" w:space="0" w:color="auto"/>
        <w:right w:val="none" w:sz="0" w:space="0" w:color="auto"/>
      </w:divBdr>
    </w:div>
    <w:div w:id="20311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ascap.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2301C-1F90-46F7-9F1D-8086E6C5E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dc:creator>
  <cp:lastModifiedBy>Milos Milosevic</cp:lastModifiedBy>
  <cp:revision>5</cp:revision>
  <cp:lastPrinted>2020-07-02T15:32:00Z</cp:lastPrinted>
  <dcterms:created xsi:type="dcterms:W3CDTF">2020-10-08T14:32:00Z</dcterms:created>
  <dcterms:modified xsi:type="dcterms:W3CDTF">2020-10-09T12:25:00Z</dcterms:modified>
</cp:coreProperties>
</file>